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31EDF" w14:textId="77777777" w:rsidR="00644DE9" w:rsidRPr="00FB3AE2" w:rsidRDefault="00644DE9" w:rsidP="00644DE9">
      <w:pPr>
        <w:spacing w:after="60"/>
        <w:rPr>
          <w:rFonts w:ascii="Arial Black" w:hAnsi="Arial Black"/>
          <w:b/>
          <w:sz w:val="28"/>
        </w:rPr>
      </w:pPr>
      <w:r>
        <w:rPr>
          <w:rFonts w:ascii="Calibri" w:hAnsi="Calibri"/>
          <w:b/>
          <w:bCs/>
          <w:noProof/>
          <w:lang w:eastAsia="fr-FR"/>
        </w:rPr>
        <w:drawing>
          <wp:anchor distT="0" distB="0" distL="144145" distR="144145" simplePos="0" relativeHeight="251659264" behindDoc="0" locked="0" layoutInCell="1" allowOverlap="0" wp14:anchorId="6E6E335A" wp14:editId="14B4F883">
            <wp:simplePos x="0" y="0"/>
            <wp:positionH relativeFrom="column">
              <wp:posOffset>1905</wp:posOffset>
            </wp:positionH>
            <wp:positionV relativeFrom="paragraph">
              <wp:posOffset>177800</wp:posOffset>
            </wp:positionV>
            <wp:extent cx="746760" cy="844550"/>
            <wp:effectExtent l="1905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FB3AE2">
        <w:rPr>
          <w:rFonts w:ascii="Arial Black" w:hAnsi="Arial Black"/>
          <w:b/>
          <w:sz w:val="24"/>
        </w:rPr>
        <w:t xml:space="preserve">Centre de Ressources </w:t>
      </w:r>
      <w:r w:rsidRPr="00FB3AE2">
        <w:rPr>
          <w:rFonts w:ascii="Arial Black" w:hAnsi="Arial Black"/>
          <w:b/>
          <w:sz w:val="24"/>
        </w:rPr>
        <w:br/>
        <w:t>Comptabilité Finance</w:t>
      </w:r>
    </w:p>
    <w:p w14:paraId="41142C80" w14:textId="77777777" w:rsidR="00644DE9" w:rsidRPr="00FB3AE2" w:rsidRDefault="00644DE9" w:rsidP="00644DE9">
      <w:pPr>
        <w:jc w:val="both"/>
        <w:rPr>
          <w:rFonts w:ascii="Calibri" w:hAnsi="Calibri"/>
          <w:sz w:val="20"/>
        </w:rPr>
      </w:pPr>
      <w:r w:rsidRPr="00FB3AE2">
        <w:rPr>
          <w:rFonts w:ascii="Calibri" w:hAnsi="Calibri"/>
          <w:sz w:val="20"/>
        </w:rPr>
        <w:t>Lycée MARIE CURIE</w:t>
      </w:r>
    </w:p>
    <w:p w14:paraId="3DFBFC06" w14:textId="77777777" w:rsidR="00644DE9" w:rsidRPr="00FB3AE2" w:rsidRDefault="00644DE9" w:rsidP="00644DE9">
      <w:pPr>
        <w:jc w:val="both"/>
        <w:rPr>
          <w:rFonts w:ascii="Calibri" w:hAnsi="Calibri"/>
          <w:sz w:val="20"/>
        </w:rPr>
      </w:pPr>
      <w:r w:rsidRPr="00FB3AE2">
        <w:rPr>
          <w:rFonts w:ascii="Calibri" w:hAnsi="Calibri"/>
          <w:sz w:val="20"/>
        </w:rPr>
        <w:t xml:space="preserve">Avenue du 8 mai 1945 - BP 348 </w:t>
      </w:r>
    </w:p>
    <w:p w14:paraId="07003DA3" w14:textId="77777777" w:rsidR="00644DE9" w:rsidRPr="00FB3AE2" w:rsidRDefault="00644DE9" w:rsidP="00644DE9">
      <w:pPr>
        <w:jc w:val="both"/>
        <w:rPr>
          <w:rFonts w:ascii="Calibri" w:hAnsi="Calibri"/>
          <w:sz w:val="16"/>
        </w:rPr>
      </w:pPr>
      <w:r w:rsidRPr="00FB3AE2">
        <w:rPr>
          <w:rFonts w:ascii="Calibri" w:hAnsi="Calibri"/>
          <w:sz w:val="20"/>
        </w:rPr>
        <w:t>38435 ECHIROLLES cedex</w:t>
      </w:r>
    </w:p>
    <w:p w14:paraId="2F494652" w14:textId="77777777" w:rsidR="00644DE9" w:rsidRPr="00FB3AE2" w:rsidRDefault="000550A9" w:rsidP="00644DE9">
      <w:pPr>
        <w:tabs>
          <w:tab w:val="left" w:pos="567"/>
        </w:tabs>
        <w:spacing w:after="120"/>
        <w:ind w:left="284"/>
        <w:jc w:val="both"/>
        <w:rPr>
          <w:rFonts w:ascii="Calibri" w:hAnsi="Calibri"/>
          <w:lang w:val="nl-NL"/>
        </w:rPr>
      </w:pPr>
      <w:hyperlink r:id="rId9" w:history="1">
        <w:r w:rsidR="00644DE9" w:rsidRPr="00FB3AE2">
          <w:rPr>
            <w:rFonts w:ascii="Calibri" w:hAnsi="Calibri"/>
            <w:b/>
            <w:color w:val="0000FF"/>
            <w:sz w:val="18"/>
            <w:u w:val="single"/>
            <w:lang w:val="nl-NL"/>
          </w:rPr>
          <w:t>http://crcf.ac-grenoble.fr/</w:t>
        </w:r>
      </w:hyperlink>
      <w:r w:rsidR="00644DE9" w:rsidRPr="00FB3AE2">
        <w:rPr>
          <w:rFonts w:ascii="Calibri" w:hAnsi="Calibri"/>
          <w:lang w:val="nl-NL"/>
        </w:rPr>
        <w:t xml:space="preserve"> </w:t>
      </w:r>
    </w:p>
    <w:p w14:paraId="291B82CB" w14:textId="77777777" w:rsidR="00644DE9" w:rsidRPr="00FB3AE2" w:rsidRDefault="00644DE9" w:rsidP="00644DE9">
      <w:pPr>
        <w:pStyle w:val="Liste"/>
        <w:ind w:left="0" w:firstLine="0"/>
        <w:rPr>
          <w:sz w:val="12"/>
          <w:lang w:val="nl-NL"/>
        </w:rPr>
      </w:pPr>
    </w:p>
    <w:p w14:paraId="1F7578C5" w14:textId="77777777" w:rsidR="00644DE9" w:rsidRPr="003F1B17" w:rsidRDefault="00644DE9" w:rsidP="00644DE9">
      <w:pPr>
        <w:shd w:val="clear" w:color="auto" w:fill="E0E0E0"/>
        <w:spacing w:before="120" w:after="120"/>
        <w:ind w:right="-1"/>
        <w:jc w:val="center"/>
        <w:rPr>
          <w:rFonts w:asciiTheme="minorHAnsi" w:hAnsiTheme="minorHAnsi" w:cstheme="minorHAnsi"/>
          <w:b/>
          <w:sz w:val="36"/>
          <w:szCs w:val="36"/>
        </w:rPr>
      </w:pPr>
      <w:bookmarkStart w:id="0" w:name="sommaire"/>
      <w:bookmarkEnd w:id="0"/>
      <w:r w:rsidRPr="003F1B17">
        <w:rPr>
          <w:rFonts w:asciiTheme="minorHAnsi" w:hAnsiTheme="minorHAnsi" w:cstheme="minorHAnsi"/>
          <w:b/>
          <w:sz w:val="36"/>
          <w:szCs w:val="36"/>
        </w:rPr>
        <w:t>Actualité comptable 2016 - 2</w:t>
      </w:r>
    </w:p>
    <w:p w14:paraId="78A6DAEE" w14:textId="77777777" w:rsidR="00644DE9" w:rsidRPr="003F1B17" w:rsidRDefault="00644DE9" w:rsidP="00644DE9">
      <w:pPr>
        <w:jc w:val="both"/>
        <w:rPr>
          <w:rFonts w:asciiTheme="minorHAnsi" w:hAnsiTheme="minorHAnsi" w:cstheme="minorHAnsi"/>
        </w:rPr>
      </w:pPr>
    </w:p>
    <w:p w14:paraId="3429D399" w14:textId="3E36239A" w:rsidR="00644DE9" w:rsidRPr="003F1B17" w:rsidRDefault="00644DE9" w:rsidP="00644DE9">
      <w:pPr>
        <w:jc w:val="both"/>
        <w:rPr>
          <w:rFonts w:asciiTheme="minorHAnsi" w:hAnsiTheme="minorHAnsi" w:cstheme="minorHAnsi"/>
        </w:rPr>
      </w:pPr>
      <w:r w:rsidRPr="003F1B17">
        <w:rPr>
          <w:rFonts w:asciiTheme="minorHAnsi" w:hAnsiTheme="minorHAnsi" w:cstheme="minorHAnsi"/>
        </w:rPr>
        <w:t xml:space="preserve">Cette veille </w:t>
      </w:r>
      <w:r w:rsidR="002A7395">
        <w:rPr>
          <w:rFonts w:asciiTheme="minorHAnsi" w:hAnsiTheme="minorHAnsi" w:cstheme="minorHAnsi"/>
        </w:rPr>
        <w:t xml:space="preserve">présente les </w:t>
      </w:r>
      <w:r w:rsidR="003F1B17">
        <w:rPr>
          <w:rFonts w:asciiTheme="minorHAnsi" w:hAnsiTheme="minorHAnsi" w:cstheme="minorHAnsi"/>
        </w:rPr>
        <w:t>pr</w:t>
      </w:r>
      <w:r w:rsidRPr="003F1B17">
        <w:rPr>
          <w:rFonts w:asciiTheme="minorHAnsi" w:hAnsiTheme="minorHAnsi" w:cstheme="minorHAnsi"/>
        </w:rPr>
        <w:t>incipales évolutions en matière comptable qui s’appliquent aux exercices ouverts à compter du 1</w:t>
      </w:r>
      <w:r w:rsidRPr="003F1B17">
        <w:rPr>
          <w:rFonts w:asciiTheme="minorHAnsi" w:hAnsiTheme="minorHAnsi" w:cstheme="minorHAnsi"/>
          <w:vertAlign w:val="superscript"/>
        </w:rPr>
        <w:t>er</w:t>
      </w:r>
      <w:r w:rsidRPr="003F1B17">
        <w:rPr>
          <w:rFonts w:asciiTheme="minorHAnsi" w:hAnsiTheme="minorHAnsi" w:cstheme="minorHAnsi"/>
        </w:rPr>
        <w:t xml:space="preserve"> janvier 2016 ou à compter de 2017. </w:t>
      </w:r>
    </w:p>
    <w:p w14:paraId="43A7673A" w14:textId="77777777" w:rsidR="00644DE9" w:rsidRPr="003F1B17" w:rsidRDefault="00644DE9" w:rsidP="00644DE9">
      <w:pPr>
        <w:jc w:val="both"/>
        <w:rPr>
          <w:rFonts w:asciiTheme="minorHAnsi" w:hAnsiTheme="minorHAnsi" w:cstheme="minorHAnsi"/>
        </w:rPr>
      </w:pPr>
    </w:p>
    <w:sdt>
      <w:sdtPr>
        <w:rPr>
          <w:rFonts w:ascii="Times New Roman" w:eastAsia="Calibri" w:hAnsi="Times New Roman" w:cs="Times New Roman"/>
          <w:color w:val="auto"/>
          <w:sz w:val="2"/>
          <w:szCs w:val="2"/>
          <w:lang w:eastAsia="en-US"/>
        </w:rPr>
        <w:id w:val="1966842741"/>
        <w:docPartObj>
          <w:docPartGallery w:val="Table of Contents"/>
          <w:docPartUnique/>
        </w:docPartObj>
      </w:sdtPr>
      <w:sdtEndPr>
        <w:rPr>
          <w:b/>
          <w:bCs/>
          <w:sz w:val="22"/>
          <w:szCs w:val="22"/>
        </w:rPr>
      </w:sdtEndPr>
      <w:sdtContent>
        <w:p w14:paraId="18BDA049" w14:textId="4CE24367" w:rsidR="0051551C" w:rsidRPr="008B75AB" w:rsidRDefault="0051551C" w:rsidP="008B75AB">
          <w:pPr>
            <w:pStyle w:val="En-ttedetabledesmatires"/>
            <w:spacing w:before="0"/>
            <w:rPr>
              <w:sz w:val="2"/>
              <w:szCs w:val="2"/>
            </w:rPr>
          </w:pPr>
        </w:p>
        <w:p w14:paraId="5A99E06F" w14:textId="778FCE13" w:rsidR="008B75AB" w:rsidRPr="008B75AB" w:rsidRDefault="0051551C" w:rsidP="00ED489C">
          <w:pPr>
            <w:pStyle w:val="TM1"/>
            <w:rPr>
              <w:rFonts w:cstheme="minorBidi"/>
            </w:rPr>
          </w:pPr>
          <w:r>
            <w:fldChar w:fldCharType="begin"/>
          </w:r>
          <w:r>
            <w:instrText xml:space="preserve"> TOC \o "1-3" \h \z \u </w:instrText>
          </w:r>
          <w:r>
            <w:fldChar w:fldCharType="separate"/>
          </w:r>
          <w:hyperlink w:anchor="_Toc471757690" w:history="1">
            <w:r w:rsidR="008B75AB" w:rsidRPr="008B75AB">
              <w:rPr>
                <w:rStyle w:val="Lienhypertexte"/>
                <w:color w:val="0070C0"/>
              </w:rPr>
              <w:t>1.</w:t>
            </w:r>
            <w:r w:rsidR="008B75AB" w:rsidRPr="008B75AB">
              <w:rPr>
                <w:rFonts w:cstheme="minorBidi"/>
              </w:rPr>
              <w:tab/>
            </w:r>
            <w:r w:rsidR="008B75AB" w:rsidRPr="008B75AB">
              <w:rPr>
                <w:rStyle w:val="Lienhypertexte"/>
                <w:color w:val="0070C0"/>
              </w:rPr>
              <w:t>Actualité des textes comptables</w:t>
            </w:r>
            <w:r w:rsidR="008B75AB" w:rsidRPr="008B75AB">
              <w:rPr>
                <w:webHidden/>
              </w:rPr>
              <w:tab/>
            </w:r>
            <w:r w:rsidR="008B75AB" w:rsidRPr="008B75AB">
              <w:rPr>
                <w:webHidden/>
              </w:rPr>
              <w:fldChar w:fldCharType="begin"/>
            </w:r>
            <w:r w:rsidR="008B75AB" w:rsidRPr="008B75AB">
              <w:rPr>
                <w:webHidden/>
              </w:rPr>
              <w:instrText xml:space="preserve"> PAGEREF _Toc471757690 \h </w:instrText>
            </w:r>
            <w:r w:rsidR="008B75AB" w:rsidRPr="008B75AB">
              <w:rPr>
                <w:webHidden/>
              </w:rPr>
            </w:r>
            <w:r w:rsidR="008B75AB" w:rsidRPr="008B75AB">
              <w:rPr>
                <w:webHidden/>
              </w:rPr>
              <w:fldChar w:fldCharType="separate"/>
            </w:r>
            <w:r w:rsidR="000E7088">
              <w:rPr>
                <w:webHidden/>
              </w:rPr>
              <w:t>2</w:t>
            </w:r>
            <w:r w:rsidR="008B75AB" w:rsidRPr="008B75AB">
              <w:rPr>
                <w:webHidden/>
              </w:rPr>
              <w:fldChar w:fldCharType="end"/>
            </w:r>
          </w:hyperlink>
        </w:p>
        <w:p w14:paraId="5C43DBDD" w14:textId="7BF9860D" w:rsidR="008B75AB" w:rsidRDefault="000550A9">
          <w:pPr>
            <w:pStyle w:val="TM2"/>
            <w:tabs>
              <w:tab w:val="right" w:leader="dot" w:pos="9060"/>
            </w:tabs>
            <w:rPr>
              <w:rFonts w:cstheme="minorBidi"/>
              <w:noProof/>
            </w:rPr>
          </w:pPr>
          <w:hyperlink w:anchor="_Toc471757691" w:history="1">
            <w:r w:rsidR="008B75AB" w:rsidRPr="00D006C1">
              <w:rPr>
                <w:rStyle w:val="Lienhypertexte"/>
                <w:rFonts w:ascii="Calibri" w:eastAsia="Times New Roman" w:hAnsi="Calibri" w:cs="Calibri"/>
                <w:noProof/>
              </w:rPr>
              <w:t>1.1 Les opérations de couverture de change (règlement ANC n°2015-05 du 2 juillet 2015)</w:t>
            </w:r>
            <w:r w:rsidR="008B75AB">
              <w:rPr>
                <w:noProof/>
                <w:webHidden/>
              </w:rPr>
              <w:tab/>
            </w:r>
            <w:r w:rsidR="008B75AB">
              <w:rPr>
                <w:noProof/>
                <w:webHidden/>
              </w:rPr>
              <w:fldChar w:fldCharType="begin"/>
            </w:r>
            <w:r w:rsidR="008B75AB">
              <w:rPr>
                <w:noProof/>
                <w:webHidden/>
              </w:rPr>
              <w:instrText xml:space="preserve"> PAGEREF _Toc471757691 \h </w:instrText>
            </w:r>
            <w:r w:rsidR="008B75AB">
              <w:rPr>
                <w:noProof/>
                <w:webHidden/>
              </w:rPr>
            </w:r>
            <w:r w:rsidR="008B75AB">
              <w:rPr>
                <w:noProof/>
                <w:webHidden/>
              </w:rPr>
              <w:fldChar w:fldCharType="separate"/>
            </w:r>
            <w:r w:rsidR="000E7088">
              <w:rPr>
                <w:noProof/>
                <w:webHidden/>
              </w:rPr>
              <w:t>2</w:t>
            </w:r>
            <w:r w:rsidR="008B75AB">
              <w:rPr>
                <w:noProof/>
                <w:webHidden/>
              </w:rPr>
              <w:fldChar w:fldCharType="end"/>
            </w:r>
          </w:hyperlink>
        </w:p>
        <w:p w14:paraId="32568973" w14:textId="31E0DBA6" w:rsidR="008B75AB" w:rsidRDefault="000550A9">
          <w:pPr>
            <w:pStyle w:val="TM2"/>
            <w:tabs>
              <w:tab w:val="right" w:leader="dot" w:pos="9060"/>
            </w:tabs>
            <w:rPr>
              <w:rFonts w:cstheme="minorBidi"/>
              <w:noProof/>
            </w:rPr>
          </w:pPr>
          <w:hyperlink w:anchor="_Toc471757692" w:history="1">
            <w:r w:rsidR="008B75AB" w:rsidRPr="00D006C1">
              <w:rPr>
                <w:rStyle w:val="Lienhypertexte"/>
                <w:rFonts w:ascii="Calibri" w:eastAsia="Times New Roman" w:hAnsi="Calibri" w:cs="Calibri"/>
                <w:noProof/>
              </w:rPr>
              <w:t>1.2 Modifications du PCG (règlement ANC n° 2015-06 du 23 novembre 2015)</w:t>
            </w:r>
            <w:r w:rsidR="008B75AB">
              <w:rPr>
                <w:noProof/>
                <w:webHidden/>
              </w:rPr>
              <w:tab/>
            </w:r>
            <w:r w:rsidR="008B75AB">
              <w:rPr>
                <w:noProof/>
                <w:webHidden/>
              </w:rPr>
              <w:fldChar w:fldCharType="begin"/>
            </w:r>
            <w:r w:rsidR="008B75AB">
              <w:rPr>
                <w:noProof/>
                <w:webHidden/>
              </w:rPr>
              <w:instrText xml:space="preserve"> PAGEREF _Toc471757692 \h </w:instrText>
            </w:r>
            <w:r w:rsidR="008B75AB">
              <w:rPr>
                <w:noProof/>
                <w:webHidden/>
              </w:rPr>
            </w:r>
            <w:r w:rsidR="008B75AB">
              <w:rPr>
                <w:noProof/>
                <w:webHidden/>
              </w:rPr>
              <w:fldChar w:fldCharType="separate"/>
            </w:r>
            <w:r w:rsidR="000E7088">
              <w:rPr>
                <w:noProof/>
                <w:webHidden/>
              </w:rPr>
              <w:t>3</w:t>
            </w:r>
            <w:r w:rsidR="008B75AB">
              <w:rPr>
                <w:noProof/>
                <w:webHidden/>
              </w:rPr>
              <w:fldChar w:fldCharType="end"/>
            </w:r>
          </w:hyperlink>
        </w:p>
        <w:p w14:paraId="3CE3C44A" w14:textId="1F959986" w:rsidR="008B75AB" w:rsidRDefault="000550A9">
          <w:pPr>
            <w:pStyle w:val="TM3"/>
            <w:tabs>
              <w:tab w:val="right" w:leader="dot" w:pos="9060"/>
            </w:tabs>
            <w:rPr>
              <w:rFonts w:cstheme="minorBidi"/>
              <w:noProof/>
            </w:rPr>
          </w:pPr>
          <w:hyperlink w:anchor="_Toc471757693" w:history="1">
            <w:r w:rsidR="008B75AB" w:rsidRPr="00D006C1">
              <w:rPr>
                <w:rStyle w:val="Lienhypertexte"/>
                <w:rFonts w:ascii="Calibri" w:hAnsi="Calibri" w:cs="Calibri"/>
                <w:noProof/>
              </w:rPr>
              <w:t>Les règles d’amortissement et de dépréciation des actifs corporels et incorporels (hors fonds de commerce)</w:t>
            </w:r>
            <w:r w:rsidR="008B75AB">
              <w:rPr>
                <w:noProof/>
                <w:webHidden/>
              </w:rPr>
              <w:tab/>
            </w:r>
            <w:r w:rsidR="008B75AB">
              <w:rPr>
                <w:noProof/>
                <w:webHidden/>
              </w:rPr>
              <w:fldChar w:fldCharType="begin"/>
            </w:r>
            <w:r w:rsidR="008B75AB">
              <w:rPr>
                <w:noProof/>
                <w:webHidden/>
              </w:rPr>
              <w:instrText xml:space="preserve"> PAGEREF _Toc471757693 \h </w:instrText>
            </w:r>
            <w:r w:rsidR="008B75AB">
              <w:rPr>
                <w:noProof/>
                <w:webHidden/>
              </w:rPr>
            </w:r>
            <w:r w:rsidR="008B75AB">
              <w:rPr>
                <w:noProof/>
                <w:webHidden/>
              </w:rPr>
              <w:fldChar w:fldCharType="separate"/>
            </w:r>
            <w:r w:rsidR="000E7088">
              <w:rPr>
                <w:noProof/>
                <w:webHidden/>
              </w:rPr>
              <w:t>4</w:t>
            </w:r>
            <w:r w:rsidR="008B75AB">
              <w:rPr>
                <w:noProof/>
                <w:webHidden/>
              </w:rPr>
              <w:fldChar w:fldCharType="end"/>
            </w:r>
          </w:hyperlink>
        </w:p>
        <w:p w14:paraId="08EE179D" w14:textId="3B90DC9F" w:rsidR="008B75AB" w:rsidRDefault="000550A9">
          <w:pPr>
            <w:pStyle w:val="TM3"/>
            <w:tabs>
              <w:tab w:val="right" w:leader="dot" w:pos="9060"/>
            </w:tabs>
            <w:rPr>
              <w:rFonts w:cstheme="minorBidi"/>
              <w:noProof/>
            </w:rPr>
          </w:pPr>
          <w:hyperlink w:anchor="_Toc471757694" w:history="1">
            <w:r w:rsidR="008B75AB" w:rsidRPr="00D006C1">
              <w:rPr>
                <w:rStyle w:val="Lienhypertexte"/>
                <w:rFonts w:ascii="Calibri" w:hAnsi="Calibri" w:cs="Calibri"/>
                <w:noProof/>
              </w:rPr>
              <w:t>Les frais de développement (article 212-3 du PCG)</w:t>
            </w:r>
            <w:r w:rsidR="008B75AB">
              <w:rPr>
                <w:noProof/>
                <w:webHidden/>
              </w:rPr>
              <w:tab/>
            </w:r>
            <w:r w:rsidR="008B75AB">
              <w:rPr>
                <w:noProof/>
                <w:webHidden/>
              </w:rPr>
              <w:fldChar w:fldCharType="begin"/>
            </w:r>
            <w:r w:rsidR="008B75AB">
              <w:rPr>
                <w:noProof/>
                <w:webHidden/>
              </w:rPr>
              <w:instrText xml:space="preserve"> PAGEREF _Toc471757694 \h </w:instrText>
            </w:r>
            <w:r w:rsidR="008B75AB">
              <w:rPr>
                <w:noProof/>
                <w:webHidden/>
              </w:rPr>
            </w:r>
            <w:r w:rsidR="008B75AB">
              <w:rPr>
                <w:noProof/>
                <w:webHidden/>
              </w:rPr>
              <w:fldChar w:fldCharType="separate"/>
            </w:r>
            <w:r w:rsidR="000E7088">
              <w:rPr>
                <w:noProof/>
                <w:webHidden/>
              </w:rPr>
              <w:t>7</w:t>
            </w:r>
            <w:r w:rsidR="008B75AB">
              <w:rPr>
                <w:noProof/>
                <w:webHidden/>
              </w:rPr>
              <w:fldChar w:fldCharType="end"/>
            </w:r>
          </w:hyperlink>
        </w:p>
        <w:p w14:paraId="310C9583" w14:textId="45BA8A31" w:rsidR="008B75AB" w:rsidRDefault="000550A9">
          <w:pPr>
            <w:pStyle w:val="TM3"/>
            <w:tabs>
              <w:tab w:val="right" w:leader="dot" w:pos="9060"/>
            </w:tabs>
            <w:rPr>
              <w:rFonts w:cstheme="minorBidi"/>
              <w:noProof/>
            </w:rPr>
          </w:pPr>
          <w:hyperlink w:anchor="_Toc471757695" w:history="1">
            <w:r w:rsidR="008B75AB" w:rsidRPr="00D006C1">
              <w:rPr>
                <w:rStyle w:val="Lienhypertexte"/>
                <w:rFonts w:ascii="Calibri" w:hAnsi="Calibri" w:cs="Calibri"/>
                <w:noProof/>
              </w:rPr>
              <w:t>Le fonds commercial : définition, amortissements et dépréciations</w:t>
            </w:r>
            <w:r w:rsidR="008B75AB">
              <w:rPr>
                <w:noProof/>
                <w:webHidden/>
              </w:rPr>
              <w:tab/>
            </w:r>
            <w:r w:rsidR="008B75AB">
              <w:rPr>
                <w:noProof/>
                <w:webHidden/>
              </w:rPr>
              <w:fldChar w:fldCharType="begin"/>
            </w:r>
            <w:r w:rsidR="008B75AB">
              <w:rPr>
                <w:noProof/>
                <w:webHidden/>
              </w:rPr>
              <w:instrText xml:space="preserve"> PAGEREF _Toc471757695 \h </w:instrText>
            </w:r>
            <w:r w:rsidR="008B75AB">
              <w:rPr>
                <w:noProof/>
                <w:webHidden/>
              </w:rPr>
            </w:r>
            <w:r w:rsidR="008B75AB">
              <w:rPr>
                <w:noProof/>
                <w:webHidden/>
              </w:rPr>
              <w:fldChar w:fldCharType="separate"/>
            </w:r>
            <w:r w:rsidR="000E7088">
              <w:rPr>
                <w:noProof/>
                <w:webHidden/>
              </w:rPr>
              <w:t>7</w:t>
            </w:r>
            <w:r w:rsidR="008B75AB">
              <w:rPr>
                <w:noProof/>
                <w:webHidden/>
              </w:rPr>
              <w:fldChar w:fldCharType="end"/>
            </w:r>
          </w:hyperlink>
        </w:p>
        <w:p w14:paraId="4AD09443" w14:textId="6016555C" w:rsidR="008B75AB" w:rsidRDefault="000550A9">
          <w:pPr>
            <w:pStyle w:val="TM3"/>
            <w:tabs>
              <w:tab w:val="right" w:leader="dot" w:pos="9060"/>
            </w:tabs>
            <w:rPr>
              <w:rFonts w:cstheme="minorBidi"/>
              <w:noProof/>
            </w:rPr>
          </w:pPr>
          <w:hyperlink w:anchor="_Toc471757696" w:history="1">
            <w:r w:rsidR="008B75AB" w:rsidRPr="00D006C1">
              <w:rPr>
                <w:rStyle w:val="Lienhypertexte"/>
                <w:rFonts w:ascii="Calibri" w:hAnsi="Calibri" w:cs="Calibri"/>
                <w:noProof/>
              </w:rPr>
              <w:t>Le mali technique de fusion</w:t>
            </w:r>
            <w:r w:rsidR="008B75AB">
              <w:rPr>
                <w:noProof/>
                <w:webHidden/>
              </w:rPr>
              <w:tab/>
            </w:r>
            <w:r w:rsidR="008B75AB">
              <w:rPr>
                <w:noProof/>
                <w:webHidden/>
              </w:rPr>
              <w:fldChar w:fldCharType="begin"/>
            </w:r>
            <w:r w:rsidR="008B75AB">
              <w:rPr>
                <w:noProof/>
                <w:webHidden/>
              </w:rPr>
              <w:instrText xml:space="preserve"> PAGEREF _Toc471757696 \h </w:instrText>
            </w:r>
            <w:r w:rsidR="008B75AB">
              <w:rPr>
                <w:noProof/>
                <w:webHidden/>
              </w:rPr>
            </w:r>
            <w:r w:rsidR="008B75AB">
              <w:rPr>
                <w:noProof/>
                <w:webHidden/>
              </w:rPr>
              <w:fldChar w:fldCharType="separate"/>
            </w:r>
            <w:r w:rsidR="000E7088">
              <w:rPr>
                <w:noProof/>
                <w:webHidden/>
              </w:rPr>
              <w:t>8</w:t>
            </w:r>
            <w:r w:rsidR="008B75AB">
              <w:rPr>
                <w:noProof/>
                <w:webHidden/>
              </w:rPr>
              <w:fldChar w:fldCharType="end"/>
            </w:r>
          </w:hyperlink>
        </w:p>
        <w:p w14:paraId="3ED4A7BB" w14:textId="411A71B1" w:rsidR="008B75AB" w:rsidRDefault="000550A9">
          <w:pPr>
            <w:pStyle w:val="TM3"/>
            <w:tabs>
              <w:tab w:val="right" w:leader="dot" w:pos="9060"/>
            </w:tabs>
            <w:rPr>
              <w:rFonts w:cstheme="minorBidi"/>
              <w:noProof/>
            </w:rPr>
          </w:pPr>
          <w:hyperlink w:anchor="_Toc471757697" w:history="1">
            <w:r w:rsidR="008B75AB" w:rsidRPr="00D006C1">
              <w:rPr>
                <w:rStyle w:val="Lienhypertexte"/>
                <w:rFonts w:ascii="Calibri" w:hAnsi="Calibri" w:cs="Calibri"/>
                <w:noProof/>
              </w:rPr>
              <w:t>L’annexe</w:t>
            </w:r>
            <w:r w:rsidR="008B75AB">
              <w:rPr>
                <w:noProof/>
                <w:webHidden/>
              </w:rPr>
              <w:tab/>
            </w:r>
            <w:r w:rsidR="008B75AB">
              <w:rPr>
                <w:noProof/>
                <w:webHidden/>
              </w:rPr>
              <w:fldChar w:fldCharType="begin"/>
            </w:r>
            <w:r w:rsidR="008B75AB">
              <w:rPr>
                <w:noProof/>
                <w:webHidden/>
              </w:rPr>
              <w:instrText xml:space="preserve"> PAGEREF _Toc471757697 \h </w:instrText>
            </w:r>
            <w:r w:rsidR="008B75AB">
              <w:rPr>
                <w:noProof/>
                <w:webHidden/>
              </w:rPr>
            </w:r>
            <w:r w:rsidR="008B75AB">
              <w:rPr>
                <w:noProof/>
                <w:webHidden/>
              </w:rPr>
              <w:fldChar w:fldCharType="separate"/>
            </w:r>
            <w:r w:rsidR="000E7088">
              <w:rPr>
                <w:noProof/>
                <w:webHidden/>
              </w:rPr>
              <w:t>9</w:t>
            </w:r>
            <w:r w:rsidR="008B75AB">
              <w:rPr>
                <w:noProof/>
                <w:webHidden/>
              </w:rPr>
              <w:fldChar w:fldCharType="end"/>
            </w:r>
          </w:hyperlink>
        </w:p>
        <w:p w14:paraId="7F337F28" w14:textId="45061646" w:rsidR="008B75AB" w:rsidRDefault="000550A9">
          <w:pPr>
            <w:pStyle w:val="TM2"/>
            <w:tabs>
              <w:tab w:val="right" w:leader="dot" w:pos="9060"/>
            </w:tabs>
            <w:rPr>
              <w:rFonts w:cstheme="minorBidi"/>
              <w:noProof/>
            </w:rPr>
          </w:pPr>
          <w:hyperlink w:anchor="_Toc471757698" w:history="1">
            <w:r w:rsidR="008B75AB" w:rsidRPr="00D006C1">
              <w:rPr>
                <w:rStyle w:val="Lienhypertexte"/>
                <w:rFonts w:ascii="Calibri" w:hAnsi="Calibri" w:cs="Calibri"/>
                <w:noProof/>
              </w:rPr>
              <w:t>1.3 Les comptes consolidés (règlement ANC n°2015-07 du 23 novembre 2015)</w:t>
            </w:r>
            <w:r w:rsidR="008B75AB">
              <w:rPr>
                <w:noProof/>
                <w:webHidden/>
              </w:rPr>
              <w:tab/>
            </w:r>
            <w:r w:rsidR="008B75AB">
              <w:rPr>
                <w:noProof/>
                <w:webHidden/>
              </w:rPr>
              <w:fldChar w:fldCharType="begin"/>
            </w:r>
            <w:r w:rsidR="008B75AB">
              <w:rPr>
                <w:noProof/>
                <w:webHidden/>
              </w:rPr>
              <w:instrText xml:space="preserve"> PAGEREF _Toc471757698 \h </w:instrText>
            </w:r>
            <w:r w:rsidR="008B75AB">
              <w:rPr>
                <w:noProof/>
                <w:webHidden/>
              </w:rPr>
            </w:r>
            <w:r w:rsidR="008B75AB">
              <w:rPr>
                <w:noProof/>
                <w:webHidden/>
              </w:rPr>
              <w:fldChar w:fldCharType="separate"/>
            </w:r>
            <w:r w:rsidR="000E7088">
              <w:rPr>
                <w:noProof/>
                <w:webHidden/>
              </w:rPr>
              <w:t>10</w:t>
            </w:r>
            <w:r w:rsidR="008B75AB">
              <w:rPr>
                <w:noProof/>
                <w:webHidden/>
              </w:rPr>
              <w:fldChar w:fldCharType="end"/>
            </w:r>
          </w:hyperlink>
        </w:p>
        <w:p w14:paraId="75A213A5" w14:textId="02813541" w:rsidR="008B75AB" w:rsidRDefault="000550A9">
          <w:pPr>
            <w:pStyle w:val="TM3"/>
            <w:tabs>
              <w:tab w:val="right" w:leader="dot" w:pos="9060"/>
            </w:tabs>
            <w:rPr>
              <w:rFonts w:cstheme="minorBidi"/>
              <w:noProof/>
            </w:rPr>
          </w:pPr>
          <w:hyperlink w:anchor="_Toc471757699" w:history="1">
            <w:r w:rsidR="008B75AB" w:rsidRPr="00D006C1">
              <w:rPr>
                <w:rStyle w:val="Lienhypertexte"/>
                <w:rFonts w:ascii="Calibri" w:hAnsi="Calibri" w:cs="Calibri"/>
                <w:noProof/>
              </w:rPr>
              <w:t>L’établissement des comptes consolidés</w:t>
            </w:r>
            <w:r w:rsidR="008B75AB">
              <w:rPr>
                <w:noProof/>
                <w:webHidden/>
              </w:rPr>
              <w:tab/>
            </w:r>
            <w:r w:rsidR="008B75AB">
              <w:rPr>
                <w:noProof/>
                <w:webHidden/>
              </w:rPr>
              <w:fldChar w:fldCharType="begin"/>
            </w:r>
            <w:r w:rsidR="008B75AB">
              <w:rPr>
                <w:noProof/>
                <w:webHidden/>
              </w:rPr>
              <w:instrText xml:space="preserve"> PAGEREF _Toc471757699 \h </w:instrText>
            </w:r>
            <w:r w:rsidR="008B75AB">
              <w:rPr>
                <w:noProof/>
                <w:webHidden/>
              </w:rPr>
            </w:r>
            <w:r w:rsidR="008B75AB">
              <w:rPr>
                <w:noProof/>
                <w:webHidden/>
              </w:rPr>
              <w:fldChar w:fldCharType="separate"/>
            </w:r>
            <w:r w:rsidR="000E7088">
              <w:rPr>
                <w:noProof/>
                <w:webHidden/>
              </w:rPr>
              <w:t>10</w:t>
            </w:r>
            <w:r w:rsidR="008B75AB">
              <w:rPr>
                <w:noProof/>
                <w:webHidden/>
              </w:rPr>
              <w:fldChar w:fldCharType="end"/>
            </w:r>
          </w:hyperlink>
        </w:p>
        <w:p w14:paraId="65D8935B" w14:textId="2AF8EBE8" w:rsidR="008B75AB" w:rsidRDefault="000550A9">
          <w:pPr>
            <w:pStyle w:val="TM3"/>
            <w:tabs>
              <w:tab w:val="right" w:leader="dot" w:pos="9060"/>
            </w:tabs>
            <w:rPr>
              <w:rFonts w:cstheme="minorBidi"/>
              <w:noProof/>
            </w:rPr>
          </w:pPr>
          <w:hyperlink w:anchor="_Toc471757700" w:history="1">
            <w:r w:rsidR="008B75AB" w:rsidRPr="00D006C1">
              <w:rPr>
                <w:rStyle w:val="Lienhypertexte"/>
                <w:rFonts w:ascii="Calibri" w:hAnsi="Calibri" w:cs="Calibri"/>
                <w:noProof/>
              </w:rPr>
              <w:t>Les exemptions à l’obligation d’établir et de publier des comptes consolidés</w:t>
            </w:r>
            <w:r w:rsidR="008B75AB">
              <w:rPr>
                <w:noProof/>
                <w:webHidden/>
              </w:rPr>
              <w:tab/>
            </w:r>
            <w:r w:rsidR="008B75AB">
              <w:rPr>
                <w:noProof/>
                <w:webHidden/>
              </w:rPr>
              <w:fldChar w:fldCharType="begin"/>
            </w:r>
            <w:r w:rsidR="008B75AB">
              <w:rPr>
                <w:noProof/>
                <w:webHidden/>
              </w:rPr>
              <w:instrText xml:space="preserve"> PAGEREF _Toc471757700 \h </w:instrText>
            </w:r>
            <w:r w:rsidR="008B75AB">
              <w:rPr>
                <w:noProof/>
                <w:webHidden/>
              </w:rPr>
            </w:r>
            <w:r w:rsidR="008B75AB">
              <w:rPr>
                <w:noProof/>
                <w:webHidden/>
              </w:rPr>
              <w:fldChar w:fldCharType="separate"/>
            </w:r>
            <w:r w:rsidR="000E7088">
              <w:rPr>
                <w:noProof/>
                <w:webHidden/>
              </w:rPr>
              <w:t>10</w:t>
            </w:r>
            <w:r w:rsidR="008B75AB">
              <w:rPr>
                <w:noProof/>
                <w:webHidden/>
              </w:rPr>
              <w:fldChar w:fldCharType="end"/>
            </w:r>
          </w:hyperlink>
        </w:p>
        <w:p w14:paraId="4099F1FC" w14:textId="6151C781" w:rsidR="008B75AB" w:rsidRDefault="000550A9">
          <w:pPr>
            <w:pStyle w:val="TM3"/>
            <w:tabs>
              <w:tab w:val="right" w:leader="dot" w:pos="9060"/>
            </w:tabs>
            <w:rPr>
              <w:rFonts w:cstheme="minorBidi"/>
              <w:noProof/>
            </w:rPr>
          </w:pPr>
          <w:hyperlink w:anchor="_Toc471757701" w:history="1">
            <w:r w:rsidR="008B75AB" w:rsidRPr="00D006C1">
              <w:rPr>
                <w:rStyle w:val="Lienhypertexte"/>
                <w:rFonts w:ascii="Calibri" w:hAnsi="Calibri" w:cs="Calibri"/>
                <w:noProof/>
              </w:rPr>
              <w:t>La date d’établissement des comptes consolidés</w:t>
            </w:r>
            <w:r w:rsidR="008B75AB">
              <w:rPr>
                <w:noProof/>
                <w:webHidden/>
              </w:rPr>
              <w:tab/>
            </w:r>
            <w:r w:rsidR="008B75AB">
              <w:rPr>
                <w:noProof/>
                <w:webHidden/>
              </w:rPr>
              <w:fldChar w:fldCharType="begin"/>
            </w:r>
            <w:r w:rsidR="008B75AB">
              <w:rPr>
                <w:noProof/>
                <w:webHidden/>
              </w:rPr>
              <w:instrText xml:space="preserve"> PAGEREF _Toc471757701 \h </w:instrText>
            </w:r>
            <w:r w:rsidR="008B75AB">
              <w:rPr>
                <w:noProof/>
                <w:webHidden/>
              </w:rPr>
            </w:r>
            <w:r w:rsidR="008B75AB">
              <w:rPr>
                <w:noProof/>
                <w:webHidden/>
              </w:rPr>
              <w:fldChar w:fldCharType="separate"/>
            </w:r>
            <w:r w:rsidR="000E7088">
              <w:rPr>
                <w:noProof/>
                <w:webHidden/>
              </w:rPr>
              <w:t>11</w:t>
            </w:r>
            <w:r w:rsidR="008B75AB">
              <w:rPr>
                <w:noProof/>
                <w:webHidden/>
              </w:rPr>
              <w:fldChar w:fldCharType="end"/>
            </w:r>
          </w:hyperlink>
        </w:p>
        <w:p w14:paraId="6CE527E9" w14:textId="03BD872A" w:rsidR="008B75AB" w:rsidRDefault="000550A9">
          <w:pPr>
            <w:pStyle w:val="TM3"/>
            <w:tabs>
              <w:tab w:val="right" w:leader="dot" w:pos="9060"/>
            </w:tabs>
            <w:rPr>
              <w:rFonts w:cstheme="minorBidi"/>
              <w:noProof/>
            </w:rPr>
          </w:pPr>
          <w:hyperlink w:anchor="_Toc471757702" w:history="1">
            <w:r w:rsidR="008B75AB" w:rsidRPr="00D006C1">
              <w:rPr>
                <w:rStyle w:val="Lienhypertexte"/>
                <w:rFonts w:ascii="Calibri" w:hAnsi="Calibri" w:cs="Calibri"/>
                <w:noProof/>
              </w:rPr>
              <w:t>Le traitement des écarts d’acquisition: amortissement et dépréciation</w:t>
            </w:r>
            <w:r w:rsidR="008B75AB">
              <w:rPr>
                <w:noProof/>
                <w:webHidden/>
              </w:rPr>
              <w:tab/>
            </w:r>
            <w:r w:rsidR="008B75AB">
              <w:rPr>
                <w:noProof/>
                <w:webHidden/>
              </w:rPr>
              <w:fldChar w:fldCharType="begin"/>
            </w:r>
            <w:r w:rsidR="008B75AB">
              <w:rPr>
                <w:noProof/>
                <w:webHidden/>
              </w:rPr>
              <w:instrText xml:space="preserve"> PAGEREF _Toc471757702 \h </w:instrText>
            </w:r>
            <w:r w:rsidR="008B75AB">
              <w:rPr>
                <w:noProof/>
                <w:webHidden/>
              </w:rPr>
            </w:r>
            <w:r w:rsidR="008B75AB">
              <w:rPr>
                <w:noProof/>
                <w:webHidden/>
              </w:rPr>
              <w:fldChar w:fldCharType="separate"/>
            </w:r>
            <w:r w:rsidR="000E7088">
              <w:rPr>
                <w:noProof/>
                <w:webHidden/>
              </w:rPr>
              <w:t>11</w:t>
            </w:r>
            <w:r w:rsidR="008B75AB">
              <w:rPr>
                <w:noProof/>
                <w:webHidden/>
              </w:rPr>
              <w:fldChar w:fldCharType="end"/>
            </w:r>
          </w:hyperlink>
        </w:p>
        <w:p w14:paraId="2E390DE8" w14:textId="56A51555" w:rsidR="008B75AB" w:rsidRDefault="000550A9">
          <w:pPr>
            <w:pStyle w:val="TM3"/>
            <w:tabs>
              <w:tab w:val="right" w:leader="dot" w:pos="9060"/>
            </w:tabs>
            <w:rPr>
              <w:rFonts w:cstheme="minorBidi"/>
              <w:noProof/>
            </w:rPr>
          </w:pPr>
          <w:hyperlink w:anchor="_Toc471757703" w:history="1">
            <w:r w:rsidR="008B75AB" w:rsidRPr="00D006C1">
              <w:rPr>
                <w:rStyle w:val="Lienhypertexte"/>
                <w:rFonts w:ascii="Calibri" w:hAnsi="Calibri" w:cs="Calibri"/>
                <w:noProof/>
              </w:rPr>
              <w:t>Le traitement des parts de marché</w:t>
            </w:r>
            <w:r w:rsidR="008B75AB">
              <w:rPr>
                <w:noProof/>
                <w:webHidden/>
              </w:rPr>
              <w:tab/>
            </w:r>
            <w:r w:rsidR="008B75AB">
              <w:rPr>
                <w:noProof/>
                <w:webHidden/>
              </w:rPr>
              <w:fldChar w:fldCharType="begin"/>
            </w:r>
            <w:r w:rsidR="008B75AB">
              <w:rPr>
                <w:noProof/>
                <w:webHidden/>
              </w:rPr>
              <w:instrText xml:space="preserve"> PAGEREF _Toc471757703 \h </w:instrText>
            </w:r>
            <w:r w:rsidR="008B75AB">
              <w:rPr>
                <w:noProof/>
                <w:webHidden/>
              </w:rPr>
            </w:r>
            <w:r w:rsidR="008B75AB">
              <w:rPr>
                <w:noProof/>
                <w:webHidden/>
              </w:rPr>
              <w:fldChar w:fldCharType="separate"/>
            </w:r>
            <w:r w:rsidR="000E7088">
              <w:rPr>
                <w:noProof/>
                <w:webHidden/>
              </w:rPr>
              <w:t>13</w:t>
            </w:r>
            <w:r w:rsidR="008B75AB">
              <w:rPr>
                <w:noProof/>
                <w:webHidden/>
              </w:rPr>
              <w:fldChar w:fldCharType="end"/>
            </w:r>
          </w:hyperlink>
        </w:p>
        <w:p w14:paraId="5DD74549" w14:textId="543ACF7A" w:rsidR="008B75AB" w:rsidRDefault="000550A9">
          <w:pPr>
            <w:pStyle w:val="TM2"/>
            <w:tabs>
              <w:tab w:val="right" w:leader="dot" w:pos="9060"/>
            </w:tabs>
            <w:rPr>
              <w:rFonts w:cstheme="minorBidi"/>
              <w:noProof/>
            </w:rPr>
          </w:pPr>
          <w:hyperlink w:anchor="_Toc471757704" w:history="1">
            <w:r w:rsidR="008B75AB" w:rsidRPr="00D006C1">
              <w:rPr>
                <w:rStyle w:val="Lienhypertexte"/>
                <w:rFonts w:ascii="Calibri" w:hAnsi="Calibri" w:cs="Calibri"/>
                <w:noProof/>
              </w:rPr>
              <w:t>1.4 Autres</w:t>
            </w:r>
            <w:r w:rsidR="008B75AB">
              <w:rPr>
                <w:noProof/>
                <w:webHidden/>
              </w:rPr>
              <w:tab/>
            </w:r>
            <w:r w:rsidR="008B75AB">
              <w:rPr>
                <w:noProof/>
                <w:webHidden/>
              </w:rPr>
              <w:fldChar w:fldCharType="begin"/>
            </w:r>
            <w:r w:rsidR="008B75AB">
              <w:rPr>
                <w:noProof/>
                <w:webHidden/>
              </w:rPr>
              <w:instrText xml:space="preserve"> PAGEREF _Toc471757704 \h </w:instrText>
            </w:r>
            <w:r w:rsidR="008B75AB">
              <w:rPr>
                <w:noProof/>
                <w:webHidden/>
              </w:rPr>
            </w:r>
            <w:r w:rsidR="008B75AB">
              <w:rPr>
                <w:noProof/>
                <w:webHidden/>
              </w:rPr>
              <w:fldChar w:fldCharType="separate"/>
            </w:r>
            <w:r w:rsidR="000E7088">
              <w:rPr>
                <w:noProof/>
                <w:webHidden/>
              </w:rPr>
              <w:t>13</w:t>
            </w:r>
            <w:r w:rsidR="008B75AB">
              <w:rPr>
                <w:noProof/>
                <w:webHidden/>
              </w:rPr>
              <w:fldChar w:fldCharType="end"/>
            </w:r>
          </w:hyperlink>
        </w:p>
        <w:p w14:paraId="2689F0B7" w14:textId="1644EB57" w:rsidR="008B75AB" w:rsidRDefault="000550A9">
          <w:pPr>
            <w:pStyle w:val="TM3"/>
            <w:tabs>
              <w:tab w:val="right" w:leader="dot" w:pos="9060"/>
            </w:tabs>
            <w:rPr>
              <w:rFonts w:cstheme="minorBidi"/>
              <w:noProof/>
            </w:rPr>
          </w:pPr>
          <w:hyperlink w:anchor="_Toc471757705" w:history="1">
            <w:r w:rsidR="008B75AB" w:rsidRPr="00D006C1">
              <w:rPr>
                <w:rStyle w:val="Lienhypertexte"/>
                <w:rFonts w:ascii="Calibri" w:hAnsi="Calibri" w:cs="Calibri"/>
                <w:noProof/>
              </w:rPr>
              <w:t>La non compensation des comptes</w:t>
            </w:r>
            <w:r w:rsidR="008B75AB">
              <w:rPr>
                <w:noProof/>
                <w:webHidden/>
              </w:rPr>
              <w:tab/>
            </w:r>
            <w:r w:rsidR="008B75AB">
              <w:rPr>
                <w:noProof/>
                <w:webHidden/>
              </w:rPr>
              <w:fldChar w:fldCharType="begin"/>
            </w:r>
            <w:r w:rsidR="008B75AB">
              <w:rPr>
                <w:noProof/>
                <w:webHidden/>
              </w:rPr>
              <w:instrText xml:space="preserve"> PAGEREF _Toc471757705 \h </w:instrText>
            </w:r>
            <w:r w:rsidR="008B75AB">
              <w:rPr>
                <w:noProof/>
                <w:webHidden/>
              </w:rPr>
            </w:r>
            <w:r w:rsidR="008B75AB">
              <w:rPr>
                <w:noProof/>
                <w:webHidden/>
              </w:rPr>
              <w:fldChar w:fldCharType="separate"/>
            </w:r>
            <w:r w:rsidR="000E7088">
              <w:rPr>
                <w:noProof/>
                <w:webHidden/>
              </w:rPr>
              <w:t>13</w:t>
            </w:r>
            <w:r w:rsidR="008B75AB">
              <w:rPr>
                <w:noProof/>
                <w:webHidden/>
              </w:rPr>
              <w:fldChar w:fldCharType="end"/>
            </w:r>
          </w:hyperlink>
        </w:p>
        <w:p w14:paraId="14E4653D" w14:textId="798312BE" w:rsidR="008B75AB" w:rsidRDefault="000550A9" w:rsidP="00ED489C">
          <w:pPr>
            <w:pStyle w:val="TM3"/>
            <w:tabs>
              <w:tab w:val="right" w:leader="dot" w:pos="9060"/>
            </w:tabs>
            <w:spacing w:after="0"/>
            <w:rPr>
              <w:rFonts w:cstheme="minorBidi"/>
              <w:noProof/>
            </w:rPr>
          </w:pPr>
          <w:hyperlink w:anchor="_Toc471757706" w:history="1">
            <w:r w:rsidR="008B75AB" w:rsidRPr="00D006C1">
              <w:rPr>
                <w:rStyle w:val="Lienhypertexte"/>
                <w:rFonts w:ascii="Calibri" w:hAnsi="Calibri" w:cs="Calibri"/>
                <w:noProof/>
              </w:rPr>
              <w:t>La définition des titres de participation</w:t>
            </w:r>
            <w:r w:rsidR="008B75AB">
              <w:rPr>
                <w:noProof/>
                <w:webHidden/>
              </w:rPr>
              <w:tab/>
            </w:r>
            <w:r w:rsidR="008B75AB">
              <w:rPr>
                <w:noProof/>
                <w:webHidden/>
              </w:rPr>
              <w:fldChar w:fldCharType="begin"/>
            </w:r>
            <w:r w:rsidR="008B75AB">
              <w:rPr>
                <w:noProof/>
                <w:webHidden/>
              </w:rPr>
              <w:instrText xml:space="preserve"> PAGEREF _Toc471757706 \h </w:instrText>
            </w:r>
            <w:r w:rsidR="008B75AB">
              <w:rPr>
                <w:noProof/>
                <w:webHidden/>
              </w:rPr>
            </w:r>
            <w:r w:rsidR="008B75AB">
              <w:rPr>
                <w:noProof/>
                <w:webHidden/>
              </w:rPr>
              <w:fldChar w:fldCharType="separate"/>
            </w:r>
            <w:r w:rsidR="000E7088">
              <w:rPr>
                <w:noProof/>
                <w:webHidden/>
              </w:rPr>
              <w:t>13</w:t>
            </w:r>
            <w:r w:rsidR="008B75AB">
              <w:rPr>
                <w:noProof/>
                <w:webHidden/>
              </w:rPr>
              <w:fldChar w:fldCharType="end"/>
            </w:r>
          </w:hyperlink>
        </w:p>
        <w:p w14:paraId="3E098D78" w14:textId="77777777" w:rsidR="008B75AB" w:rsidRPr="008B75AB" w:rsidRDefault="008B75AB" w:rsidP="00ED489C">
          <w:pPr>
            <w:pStyle w:val="TM1"/>
            <w:rPr>
              <w:rStyle w:val="Lienhypertexte"/>
              <w:b w:val="0"/>
              <w:color w:val="0070C0"/>
            </w:rPr>
          </w:pPr>
        </w:p>
        <w:p w14:paraId="190C96F3" w14:textId="3CB409C8" w:rsidR="008B75AB" w:rsidRPr="00ED489C" w:rsidRDefault="000550A9" w:rsidP="00ED489C">
          <w:pPr>
            <w:pStyle w:val="TM1"/>
            <w:rPr>
              <w:rFonts w:cstheme="minorBidi"/>
            </w:rPr>
          </w:pPr>
          <w:hyperlink w:anchor="_Toc471757707" w:history="1">
            <w:r w:rsidR="008B75AB" w:rsidRPr="00ED489C">
              <w:rPr>
                <w:rStyle w:val="Lienhypertexte"/>
                <w:color w:val="0070C0"/>
              </w:rPr>
              <w:t>2.</w:t>
            </w:r>
            <w:r w:rsidR="008B75AB" w:rsidRPr="00ED489C">
              <w:rPr>
                <w:rFonts w:cstheme="minorBidi"/>
              </w:rPr>
              <w:tab/>
            </w:r>
            <w:r w:rsidR="008B75AB" w:rsidRPr="00ED489C">
              <w:rPr>
                <w:rStyle w:val="Lienhypertexte"/>
                <w:color w:val="0070C0"/>
              </w:rPr>
              <w:t>Commissariat aux comptes</w:t>
            </w:r>
            <w:r w:rsidR="008B75AB" w:rsidRPr="00ED489C">
              <w:rPr>
                <w:webHidden/>
              </w:rPr>
              <w:tab/>
            </w:r>
            <w:r w:rsidR="008B75AB" w:rsidRPr="00ED489C">
              <w:rPr>
                <w:webHidden/>
              </w:rPr>
              <w:fldChar w:fldCharType="begin"/>
            </w:r>
            <w:r w:rsidR="008B75AB" w:rsidRPr="00ED489C">
              <w:rPr>
                <w:webHidden/>
              </w:rPr>
              <w:instrText xml:space="preserve"> PAGEREF _Toc471757707 \h </w:instrText>
            </w:r>
            <w:r w:rsidR="008B75AB" w:rsidRPr="00ED489C">
              <w:rPr>
                <w:webHidden/>
              </w:rPr>
            </w:r>
            <w:r w:rsidR="008B75AB" w:rsidRPr="00ED489C">
              <w:rPr>
                <w:webHidden/>
              </w:rPr>
              <w:fldChar w:fldCharType="separate"/>
            </w:r>
            <w:r w:rsidR="000E7088">
              <w:rPr>
                <w:webHidden/>
              </w:rPr>
              <w:t>14</w:t>
            </w:r>
            <w:r w:rsidR="008B75AB" w:rsidRPr="00ED489C">
              <w:rPr>
                <w:webHidden/>
              </w:rPr>
              <w:fldChar w:fldCharType="end"/>
            </w:r>
          </w:hyperlink>
        </w:p>
        <w:p w14:paraId="1307AE30" w14:textId="1EFCDEC5" w:rsidR="008B75AB" w:rsidRDefault="000550A9">
          <w:pPr>
            <w:pStyle w:val="TM2"/>
            <w:tabs>
              <w:tab w:val="right" w:leader="dot" w:pos="9060"/>
            </w:tabs>
            <w:rPr>
              <w:rFonts w:cstheme="minorBidi"/>
              <w:noProof/>
            </w:rPr>
          </w:pPr>
          <w:hyperlink w:anchor="_Toc471757708" w:history="1">
            <w:r w:rsidR="008B75AB" w:rsidRPr="00D006C1">
              <w:rPr>
                <w:rStyle w:val="Lienhypertexte"/>
                <w:rFonts w:eastAsia="Times New Roman" w:cstheme="minorHAnsi"/>
                <w:noProof/>
              </w:rPr>
              <w:t>2.1 Avis technique de la CNCC relatif aux critères de représentativité au niveau d'une branche</w:t>
            </w:r>
            <w:r w:rsidR="008B75AB">
              <w:rPr>
                <w:noProof/>
                <w:webHidden/>
              </w:rPr>
              <w:tab/>
            </w:r>
            <w:r w:rsidR="008B75AB">
              <w:rPr>
                <w:noProof/>
                <w:webHidden/>
              </w:rPr>
              <w:fldChar w:fldCharType="begin"/>
            </w:r>
            <w:r w:rsidR="008B75AB">
              <w:rPr>
                <w:noProof/>
                <w:webHidden/>
              </w:rPr>
              <w:instrText xml:space="preserve"> PAGEREF _Toc471757708 \h </w:instrText>
            </w:r>
            <w:r w:rsidR="008B75AB">
              <w:rPr>
                <w:noProof/>
                <w:webHidden/>
              </w:rPr>
            </w:r>
            <w:r w:rsidR="008B75AB">
              <w:rPr>
                <w:noProof/>
                <w:webHidden/>
              </w:rPr>
              <w:fldChar w:fldCharType="separate"/>
            </w:r>
            <w:r w:rsidR="000E7088">
              <w:rPr>
                <w:noProof/>
                <w:webHidden/>
              </w:rPr>
              <w:t>14</w:t>
            </w:r>
            <w:r w:rsidR="008B75AB">
              <w:rPr>
                <w:noProof/>
                <w:webHidden/>
              </w:rPr>
              <w:fldChar w:fldCharType="end"/>
            </w:r>
          </w:hyperlink>
        </w:p>
        <w:p w14:paraId="28B22CF9" w14:textId="65C9C977" w:rsidR="008B75AB" w:rsidRDefault="000550A9">
          <w:pPr>
            <w:pStyle w:val="TM2"/>
            <w:tabs>
              <w:tab w:val="right" w:leader="dot" w:pos="9060"/>
            </w:tabs>
            <w:rPr>
              <w:rFonts w:cstheme="minorBidi"/>
              <w:noProof/>
            </w:rPr>
          </w:pPr>
          <w:hyperlink w:anchor="_Toc471757709" w:history="1">
            <w:r w:rsidR="008B75AB" w:rsidRPr="00D006C1">
              <w:rPr>
                <w:rStyle w:val="Lienhypertexte"/>
                <w:rFonts w:eastAsia="Times New Roman" w:cstheme="minorHAnsi"/>
                <w:noProof/>
              </w:rPr>
              <w:t>2.2 Note de la CNCC relative aux nouvelles obligations des comités d’entreprise</w:t>
            </w:r>
            <w:r w:rsidR="008B75AB">
              <w:rPr>
                <w:noProof/>
                <w:webHidden/>
              </w:rPr>
              <w:tab/>
            </w:r>
            <w:r w:rsidR="008B75AB">
              <w:rPr>
                <w:noProof/>
                <w:webHidden/>
              </w:rPr>
              <w:fldChar w:fldCharType="begin"/>
            </w:r>
            <w:r w:rsidR="008B75AB">
              <w:rPr>
                <w:noProof/>
                <w:webHidden/>
              </w:rPr>
              <w:instrText xml:space="preserve"> PAGEREF _Toc471757709 \h </w:instrText>
            </w:r>
            <w:r w:rsidR="008B75AB">
              <w:rPr>
                <w:noProof/>
                <w:webHidden/>
              </w:rPr>
            </w:r>
            <w:r w:rsidR="008B75AB">
              <w:rPr>
                <w:noProof/>
                <w:webHidden/>
              </w:rPr>
              <w:fldChar w:fldCharType="separate"/>
            </w:r>
            <w:r w:rsidR="000E7088">
              <w:rPr>
                <w:noProof/>
                <w:webHidden/>
              </w:rPr>
              <w:t>14</w:t>
            </w:r>
            <w:r w:rsidR="008B75AB">
              <w:rPr>
                <w:noProof/>
                <w:webHidden/>
              </w:rPr>
              <w:fldChar w:fldCharType="end"/>
            </w:r>
          </w:hyperlink>
        </w:p>
        <w:p w14:paraId="264FED6F" w14:textId="77777777" w:rsidR="008B75AB" w:rsidRPr="008B75AB" w:rsidRDefault="008B75AB" w:rsidP="00ED489C">
          <w:pPr>
            <w:pStyle w:val="TM1"/>
            <w:rPr>
              <w:rStyle w:val="Lienhypertexte"/>
              <w:b w:val="0"/>
              <w:color w:val="0070C0"/>
            </w:rPr>
          </w:pPr>
        </w:p>
        <w:p w14:paraId="56741583" w14:textId="630AD9C8" w:rsidR="008B75AB" w:rsidRPr="00ED489C" w:rsidRDefault="000550A9" w:rsidP="00ED489C">
          <w:pPr>
            <w:pStyle w:val="TM1"/>
            <w:rPr>
              <w:rFonts w:cstheme="minorBidi"/>
            </w:rPr>
          </w:pPr>
          <w:hyperlink w:anchor="_Toc471757710" w:history="1">
            <w:r w:rsidR="008B75AB" w:rsidRPr="00ED489C">
              <w:rPr>
                <w:rStyle w:val="Lienhypertexte"/>
                <w:i w:val="0"/>
                <w:color w:val="0070C0"/>
              </w:rPr>
              <w:t>3.</w:t>
            </w:r>
            <w:r w:rsidR="008B75AB" w:rsidRPr="00ED489C">
              <w:rPr>
                <w:rFonts w:cstheme="minorBidi"/>
              </w:rPr>
              <w:tab/>
            </w:r>
            <w:r w:rsidR="008B75AB" w:rsidRPr="00ED489C">
              <w:rPr>
                <w:rStyle w:val="Lienhypertexte"/>
                <w:i w:val="0"/>
                <w:color w:val="0070C0"/>
              </w:rPr>
              <w:t>Divers</w:t>
            </w:r>
            <w:r w:rsidR="008B75AB" w:rsidRPr="00ED489C">
              <w:rPr>
                <w:webHidden/>
              </w:rPr>
              <w:tab/>
            </w:r>
            <w:r w:rsidR="008B75AB" w:rsidRPr="00ED489C">
              <w:rPr>
                <w:webHidden/>
              </w:rPr>
              <w:fldChar w:fldCharType="begin"/>
            </w:r>
            <w:r w:rsidR="008B75AB" w:rsidRPr="00ED489C">
              <w:rPr>
                <w:webHidden/>
              </w:rPr>
              <w:instrText xml:space="preserve"> PAGEREF _Toc471757710 \h </w:instrText>
            </w:r>
            <w:r w:rsidR="008B75AB" w:rsidRPr="00ED489C">
              <w:rPr>
                <w:webHidden/>
              </w:rPr>
            </w:r>
            <w:r w:rsidR="008B75AB" w:rsidRPr="00ED489C">
              <w:rPr>
                <w:webHidden/>
              </w:rPr>
              <w:fldChar w:fldCharType="separate"/>
            </w:r>
            <w:r w:rsidR="000E7088">
              <w:rPr>
                <w:webHidden/>
              </w:rPr>
              <w:t>14</w:t>
            </w:r>
            <w:r w:rsidR="008B75AB" w:rsidRPr="00ED489C">
              <w:rPr>
                <w:webHidden/>
              </w:rPr>
              <w:fldChar w:fldCharType="end"/>
            </w:r>
          </w:hyperlink>
        </w:p>
        <w:p w14:paraId="3E6A2040" w14:textId="040348C0" w:rsidR="008B75AB" w:rsidRDefault="000550A9">
          <w:pPr>
            <w:pStyle w:val="TM2"/>
            <w:tabs>
              <w:tab w:val="right" w:leader="dot" w:pos="9060"/>
            </w:tabs>
            <w:rPr>
              <w:rFonts w:cstheme="minorBidi"/>
              <w:noProof/>
            </w:rPr>
          </w:pPr>
          <w:hyperlink w:anchor="_Toc471757711" w:history="1">
            <w:r w:rsidR="008B75AB" w:rsidRPr="00D006C1">
              <w:rPr>
                <w:rStyle w:val="Lienhypertexte"/>
                <w:rFonts w:eastAsia="Times New Roman" w:cstheme="minorHAnsi"/>
                <w:noProof/>
              </w:rPr>
              <w:t>3.1 Les organismes de gestion agréés</w:t>
            </w:r>
            <w:r w:rsidR="008B75AB">
              <w:rPr>
                <w:noProof/>
                <w:webHidden/>
              </w:rPr>
              <w:tab/>
            </w:r>
            <w:r w:rsidR="008B75AB">
              <w:rPr>
                <w:noProof/>
                <w:webHidden/>
              </w:rPr>
              <w:fldChar w:fldCharType="begin"/>
            </w:r>
            <w:r w:rsidR="008B75AB">
              <w:rPr>
                <w:noProof/>
                <w:webHidden/>
              </w:rPr>
              <w:instrText xml:space="preserve"> PAGEREF _Toc471757711 \h </w:instrText>
            </w:r>
            <w:r w:rsidR="008B75AB">
              <w:rPr>
                <w:noProof/>
                <w:webHidden/>
              </w:rPr>
            </w:r>
            <w:r w:rsidR="008B75AB">
              <w:rPr>
                <w:noProof/>
                <w:webHidden/>
              </w:rPr>
              <w:fldChar w:fldCharType="separate"/>
            </w:r>
            <w:r w:rsidR="000E7088">
              <w:rPr>
                <w:noProof/>
                <w:webHidden/>
              </w:rPr>
              <w:t>14</w:t>
            </w:r>
            <w:r w:rsidR="008B75AB">
              <w:rPr>
                <w:noProof/>
                <w:webHidden/>
              </w:rPr>
              <w:fldChar w:fldCharType="end"/>
            </w:r>
          </w:hyperlink>
        </w:p>
        <w:p w14:paraId="0864130A" w14:textId="69FDB514" w:rsidR="008B75AB" w:rsidRDefault="000550A9">
          <w:pPr>
            <w:pStyle w:val="TM2"/>
            <w:tabs>
              <w:tab w:val="left" w:pos="880"/>
              <w:tab w:val="right" w:leader="dot" w:pos="9060"/>
            </w:tabs>
            <w:rPr>
              <w:rFonts w:cstheme="minorBidi"/>
              <w:noProof/>
            </w:rPr>
          </w:pPr>
          <w:hyperlink w:anchor="_Toc471757712" w:history="1">
            <w:r w:rsidR="008B75AB" w:rsidRPr="00D006C1">
              <w:rPr>
                <w:rStyle w:val="Lienhypertexte"/>
                <w:rFonts w:eastAsia="Times New Roman" w:cstheme="minorHAnsi"/>
                <w:noProof/>
              </w:rPr>
              <w:t>3.2</w:t>
            </w:r>
            <w:r w:rsidR="008B75AB">
              <w:rPr>
                <w:rFonts w:cstheme="minorBidi"/>
                <w:noProof/>
              </w:rPr>
              <w:t xml:space="preserve"> </w:t>
            </w:r>
            <w:r w:rsidR="008B75AB" w:rsidRPr="00D006C1">
              <w:rPr>
                <w:rStyle w:val="Lienhypertexte"/>
                <w:rFonts w:eastAsia="Times New Roman" w:cstheme="minorHAnsi"/>
                <w:noProof/>
              </w:rPr>
              <w:t>Le rapport de gestion : nouvelles informations à fournir</w:t>
            </w:r>
            <w:r w:rsidR="008B75AB">
              <w:rPr>
                <w:noProof/>
                <w:webHidden/>
              </w:rPr>
              <w:tab/>
            </w:r>
            <w:r w:rsidR="008B75AB">
              <w:rPr>
                <w:noProof/>
                <w:webHidden/>
              </w:rPr>
              <w:fldChar w:fldCharType="begin"/>
            </w:r>
            <w:r w:rsidR="008B75AB">
              <w:rPr>
                <w:noProof/>
                <w:webHidden/>
              </w:rPr>
              <w:instrText xml:space="preserve"> PAGEREF _Toc471757712 \h </w:instrText>
            </w:r>
            <w:r w:rsidR="008B75AB">
              <w:rPr>
                <w:noProof/>
                <w:webHidden/>
              </w:rPr>
            </w:r>
            <w:r w:rsidR="008B75AB">
              <w:rPr>
                <w:noProof/>
                <w:webHidden/>
              </w:rPr>
              <w:fldChar w:fldCharType="separate"/>
            </w:r>
            <w:r w:rsidR="000E7088">
              <w:rPr>
                <w:noProof/>
                <w:webHidden/>
              </w:rPr>
              <w:t>15</w:t>
            </w:r>
            <w:r w:rsidR="008B75AB">
              <w:rPr>
                <w:noProof/>
                <w:webHidden/>
              </w:rPr>
              <w:fldChar w:fldCharType="end"/>
            </w:r>
          </w:hyperlink>
        </w:p>
        <w:p w14:paraId="023B2DAB" w14:textId="5FF60046" w:rsidR="008B75AB" w:rsidRDefault="000550A9" w:rsidP="00ED489C">
          <w:pPr>
            <w:pStyle w:val="TM2"/>
            <w:tabs>
              <w:tab w:val="right" w:leader="dot" w:pos="9060"/>
            </w:tabs>
            <w:spacing w:after="0"/>
            <w:rPr>
              <w:rFonts w:cstheme="minorBidi"/>
              <w:noProof/>
            </w:rPr>
          </w:pPr>
          <w:hyperlink w:anchor="_Toc471757713" w:history="1">
            <w:r w:rsidR="008B75AB" w:rsidRPr="00D006C1">
              <w:rPr>
                <w:rStyle w:val="Lienhypertexte"/>
                <w:rFonts w:eastAsia="Times New Roman" w:cstheme="minorHAnsi"/>
                <w:noProof/>
              </w:rPr>
              <w:t>3.3 Les sociétés pluri-professionnelles d'exercice (SPE)</w:t>
            </w:r>
            <w:r w:rsidR="008B75AB">
              <w:rPr>
                <w:noProof/>
                <w:webHidden/>
              </w:rPr>
              <w:tab/>
            </w:r>
            <w:r w:rsidR="008B75AB">
              <w:rPr>
                <w:noProof/>
                <w:webHidden/>
              </w:rPr>
              <w:fldChar w:fldCharType="begin"/>
            </w:r>
            <w:r w:rsidR="008B75AB">
              <w:rPr>
                <w:noProof/>
                <w:webHidden/>
              </w:rPr>
              <w:instrText xml:space="preserve"> PAGEREF _Toc471757713 \h </w:instrText>
            </w:r>
            <w:r w:rsidR="008B75AB">
              <w:rPr>
                <w:noProof/>
                <w:webHidden/>
              </w:rPr>
            </w:r>
            <w:r w:rsidR="008B75AB">
              <w:rPr>
                <w:noProof/>
                <w:webHidden/>
              </w:rPr>
              <w:fldChar w:fldCharType="separate"/>
            </w:r>
            <w:r w:rsidR="000E7088">
              <w:rPr>
                <w:noProof/>
                <w:webHidden/>
              </w:rPr>
              <w:t>15</w:t>
            </w:r>
            <w:r w:rsidR="008B75AB">
              <w:rPr>
                <w:noProof/>
                <w:webHidden/>
              </w:rPr>
              <w:fldChar w:fldCharType="end"/>
            </w:r>
          </w:hyperlink>
        </w:p>
        <w:p w14:paraId="4483A18B" w14:textId="77777777" w:rsidR="00ED489C" w:rsidRDefault="0051551C" w:rsidP="00364FBB">
          <w:pPr>
            <w:rPr>
              <w:b/>
              <w:bCs/>
            </w:rPr>
          </w:pPr>
          <w:r>
            <w:rPr>
              <w:b/>
              <w:bCs/>
            </w:rPr>
            <w:fldChar w:fldCharType="end"/>
          </w:r>
        </w:p>
        <w:p w14:paraId="00413ED6" w14:textId="77777777" w:rsidR="00ED489C" w:rsidRDefault="00ED489C" w:rsidP="00364FBB">
          <w:pPr>
            <w:rPr>
              <w:b/>
              <w:bCs/>
            </w:rPr>
          </w:pPr>
        </w:p>
        <w:p w14:paraId="07A85B7B" w14:textId="524D72FD" w:rsidR="00644DE9" w:rsidRPr="008B75AB" w:rsidRDefault="000550A9" w:rsidP="00364FBB"/>
      </w:sdtContent>
    </w:sdt>
    <w:p w14:paraId="60CA3E92" w14:textId="570D799F" w:rsidR="00644DE9" w:rsidRPr="00B4527B" w:rsidRDefault="00644DE9" w:rsidP="00B4527B">
      <w:pPr>
        <w:pStyle w:val="Titre1"/>
        <w:rPr>
          <w:b/>
          <w:i/>
          <w:color w:val="0070C0"/>
        </w:rPr>
      </w:pPr>
      <w:bookmarkStart w:id="1" w:name="_Toc471757690"/>
      <w:r w:rsidRPr="00B4527B">
        <w:rPr>
          <w:b/>
          <w:i/>
          <w:color w:val="0070C0"/>
        </w:rPr>
        <w:lastRenderedPageBreak/>
        <w:t>Actualité des textes comptables</w:t>
      </w:r>
      <w:bookmarkEnd w:id="1"/>
    </w:p>
    <w:p w14:paraId="49CF4C6B" w14:textId="77777777" w:rsidR="00644DE9" w:rsidRPr="003F1B17" w:rsidRDefault="00644DE9" w:rsidP="00644DE9">
      <w:pPr>
        <w:rPr>
          <w:rFonts w:asciiTheme="minorHAnsi" w:eastAsia="Times New Roman" w:hAnsiTheme="minorHAnsi" w:cstheme="minorHAnsi"/>
          <w:b/>
          <w:bCs/>
          <w:i/>
          <w:color w:val="2E74B5" w:themeColor="accent1" w:themeShade="BF"/>
          <w:sz w:val="24"/>
          <w:szCs w:val="24"/>
          <w:u w:val="single"/>
          <w:lang w:eastAsia="fr-FR"/>
        </w:rPr>
      </w:pPr>
    </w:p>
    <w:p w14:paraId="30B3757F" w14:textId="23811C9D" w:rsidR="00644DE9" w:rsidRPr="00FF2CDA" w:rsidRDefault="00FF2CDA" w:rsidP="00364FBB">
      <w:pPr>
        <w:pStyle w:val="Titre2"/>
        <w:ind w:left="708"/>
        <w:rPr>
          <w:rFonts w:ascii="Calibri" w:eastAsia="Times New Roman" w:hAnsi="Calibri" w:cs="Calibri"/>
          <w:b/>
          <w:i/>
          <w:color w:val="auto"/>
          <w:sz w:val="24"/>
          <w:szCs w:val="24"/>
          <w:lang w:eastAsia="fr-FR"/>
        </w:rPr>
      </w:pPr>
      <w:bookmarkStart w:id="2" w:name="_Toc471757691"/>
      <w:r>
        <w:rPr>
          <w:rFonts w:ascii="Calibri" w:eastAsia="Times New Roman" w:hAnsi="Calibri" w:cs="Calibri"/>
          <w:b/>
          <w:i/>
          <w:color w:val="auto"/>
          <w:sz w:val="24"/>
          <w:szCs w:val="24"/>
          <w:lang w:eastAsia="fr-FR"/>
        </w:rPr>
        <w:t xml:space="preserve">1.1 </w:t>
      </w:r>
      <w:r w:rsidR="00644DE9" w:rsidRPr="00FF2CDA">
        <w:rPr>
          <w:rFonts w:ascii="Calibri" w:eastAsia="Times New Roman" w:hAnsi="Calibri" w:cs="Calibri"/>
          <w:b/>
          <w:i/>
          <w:color w:val="auto"/>
          <w:sz w:val="24"/>
          <w:szCs w:val="24"/>
          <w:lang w:eastAsia="fr-FR"/>
        </w:rPr>
        <w:t>Les opérations de couverture de chang</w:t>
      </w:r>
      <w:r w:rsidR="00364FBB">
        <w:rPr>
          <w:rFonts w:ascii="Calibri" w:eastAsia="Times New Roman" w:hAnsi="Calibri" w:cs="Calibri"/>
          <w:b/>
          <w:i/>
          <w:color w:val="auto"/>
          <w:sz w:val="24"/>
          <w:szCs w:val="24"/>
          <w:lang w:eastAsia="fr-FR"/>
        </w:rPr>
        <w:t xml:space="preserve">e (règlement ANC n°2015-05 du 2 juillet </w:t>
      </w:r>
      <w:r w:rsidR="00644DE9" w:rsidRPr="00FF2CDA">
        <w:rPr>
          <w:rFonts w:ascii="Calibri" w:eastAsia="Times New Roman" w:hAnsi="Calibri" w:cs="Calibri"/>
          <w:b/>
          <w:i/>
          <w:color w:val="auto"/>
          <w:sz w:val="24"/>
          <w:szCs w:val="24"/>
          <w:lang w:eastAsia="fr-FR"/>
        </w:rPr>
        <w:t>2015)</w:t>
      </w:r>
      <w:bookmarkEnd w:id="2"/>
    </w:p>
    <w:p w14:paraId="6FAF4DB2" w14:textId="77777777" w:rsidR="00644DE9" w:rsidRPr="003F1B17" w:rsidRDefault="00644DE9" w:rsidP="00644DE9">
      <w:pPr>
        <w:spacing w:line="259" w:lineRule="auto"/>
        <w:jc w:val="both"/>
        <w:rPr>
          <w:rFonts w:asciiTheme="minorHAnsi" w:hAnsiTheme="minorHAnsi" w:cstheme="minorHAnsi"/>
          <w:color w:val="000000" w:themeColor="text1"/>
        </w:rPr>
      </w:pPr>
    </w:p>
    <w:p w14:paraId="33448739" w14:textId="53400611" w:rsidR="00644DE9" w:rsidRPr="003F1B17" w:rsidRDefault="00644DE9" w:rsidP="00644DE9">
      <w:p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Le règlement ANC n°2015-05 du 2 juillet 2015 relatif aux instruments financiers à terme et aux opérations de couverture, homologué par l’arrêté du 28 décembre 2015 et publié au journal officiel du 30 décembre 2015 s’applique aux exercices ouverts à compter du 1er janvier 2017. Il a pu faire l'objet d'une application anticipée </w:t>
      </w:r>
      <w:r w:rsidR="00FA102C" w:rsidRPr="003F1B17">
        <w:rPr>
          <w:rFonts w:asciiTheme="minorHAnsi" w:hAnsiTheme="minorHAnsi" w:cstheme="minorHAnsi"/>
          <w:color w:val="000000" w:themeColor="text1"/>
        </w:rPr>
        <w:t>à compter du 31 décembre 2015</w:t>
      </w:r>
      <w:r w:rsidRPr="003F1B17">
        <w:rPr>
          <w:rFonts w:asciiTheme="minorHAnsi" w:hAnsiTheme="minorHAnsi" w:cstheme="minorHAnsi"/>
          <w:color w:val="000000" w:themeColor="text1"/>
        </w:rPr>
        <w:t>.</w:t>
      </w:r>
    </w:p>
    <w:p w14:paraId="67045C5D" w14:textId="77777777" w:rsidR="00644DE9" w:rsidRPr="003F1B17" w:rsidRDefault="00644DE9" w:rsidP="00644DE9">
      <w:pPr>
        <w:spacing w:line="259" w:lineRule="auto"/>
        <w:jc w:val="both"/>
        <w:rPr>
          <w:rFonts w:asciiTheme="minorHAnsi" w:hAnsiTheme="minorHAnsi" w:cstheme="minorHAnsi"/>
          <w:color w:val="000000" w:themeColor="text1"/>
        </w:rPr>
      </w:pPr>
    </w:p>
    <w:p w14:paraId="2D5840A4" w14:textId="77777777" w:rsidR="00644DE9" w:rsidRPr="003F1B17" w:rsidRDefault="00644DE9" w:rsidP="00644DE9">
      <w:p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Ce nouveau règlement insère notamment au PCG une section « Dispositions relatives aux instruments financiers à terme et aux opérations de couverture » et répond ainsi à la nécessité de sécuriser leur traitement comptable. Il apporte des précisions sur :  </w:t>
      </w:r>
    </w:p>
    <w:p w14:paraId="2DB499CA" w14:textId="6DFEB6EB" w:rsidR="00644DE9" w:rsidRPr="003F1B17" w:rsidRDefault="00ED489C" w:rsidP="00644DE9">
      <w:pPr>
        <w:pStyle w:val="Paragraphedeliste"/>
        <w:numPr>
          <w:ilvl w:val="0"/>
          <w:numId w:val="4"/>
        </w:numPr>
        <w:spacing w:line="259" w:lineRule="auto"/>
        <w:jc w:val="both"/>
        <w:rPr>
          <w:rFonts w:asciiTheme="minorHAnsi" w:hAnsiTheme="minorHAnsi" w:cstheme="minorHAnsi"/>
          <w:color w:val="000000" w:themeColor="text1"/>
        </w:rPr>
      </w:pPr>
      <w:r>
        <w:rPr>
          <w:rFonts w:asciiTheme="minorHAnsi" w:hAnsiTheme="minorHAnsi" w:cstheme="minorHAnsi"/>
          <w:color w:val="000000" w:themeColor="text1"/>
        </w:rPr>
        <w:t>L</w:t>
      </w:r>
      <w:r w:rsidR="00644DE9" w:rsidRPr="003F1B17">
        <w:rPr>
          <w:rFonts w:asciiTheme="minorHAnsi" w:hAnsiTheme="minorHAnsi" w:cstheme="minorHAnsi"/>
          <w:color w:val="000000" w:themeColor="text1"/>
        </w:rPr>
        <w:t xml:space="preserve">es critères à retenir pour qualifier une opération de couverture,  </w:t>
      </w:r>
    </w:p>
    <w:p w14:paraId="047C956E" w14:textId="644F8523" w:rsidR="00644DE9" w:rsidRPr="003F1B17" w:rsidRDefault="00ED489C" w:rsidP="00644DE9">
      <w:pPr>
        <w:pStyle w:val="Paragraphedeliste"/>
        <w:numPr>
          <w:ilvl w:val="0"/>
          <w:numId w:val="4"/>
        </w:numPr>
        <w:spacing w:line="259" w:lineRule="auto"/>
        <w:jc w:val="both"/>
        <w:rPr>
          <w:rFonts w:asciiTheme="minorHAnsi" w:hAnsiTheme="minorHAnsi" w:cstheme="minorHAnsi"/>
          <w:color w:val="000000" w:themeColor="text1"/>
        </w:rPr>
      </w:pPr>
      <w:r>
        <w:rPr>
          <w:rFonts w:asciiTheme="minorHAnsi" w:hAnsiTheme="minorHAnsi" w:cstheme="minorHAnsi"/>
          <w:color w:val="000000" w:themeColor="text1"/>
        </w:rPr>
        <w:t>L</w:t>
      </w:r>
      <w:r w:rsidR="00644DE9" w:rsidRPr="003F1B17">
        <w:rPr>
          <w:rFonts w:asciiTheme="minorHAnsi" w:hAnsiTheme="minorHAnsi" w:cstheme="minorHAnsi"/>
          <w:color w:val="000000" w:themeColor="text1"/>
        </w:rPr>
        <w:t xml:space="preserve">a possibilité de couvrir des titres en devises dans les comptes sociaux,  </w:t>
      </w:r>
    </w:p>
    <w:p w14:paraId="3A7D5588" w14:textId="6E4A3ED0" w:rsidR="00644DE9" w:rsidRPr="003F1B17" w:rsidRDefault="00ED489C" w:rsidP="00644DE9">
      <w:pPr>
        <w:pStyle w:val="Paragraphedeliste"/>
        <w:numPr>
          <w:ilvl w:val="0"/>
          <w:numId w:val="4"/>
        </w:numPr>
        <w:spacing w:line="259" w:lineRule="auto"/>
        <w:jc w:val="both"/>
        <w:rPr>
          <w:rFonts w:asciiTheme="minorHAnsi" w:hAnsiTheme="minorHAnsi" w:cstheme="minorHAnsi"/>
          <w:color w:val="000000" w:themeColor="text1"/>
        </w:rPr>
      </w:pPr>
      <w:r>
        <w:rPr>
          <w:rFonts w:asciiTheme="minorHAnsi" w:hAnsiTheme="minorHAnsi" w:cstheme="minorHAnsi"/>
          <w:color w:val="000000" w:themeColor="text1"/>
        </w:rPr>
        <w:t>L</w:t>
      </w:r>
      <w:r w:rsidR="00644DE9" w:rsidRPr="003F1B17">
        <w:rPr>
          <w:rFonts w:asciiTheme="minorHAnsi" w:hAnsiTheme="minorHAnsi" w:cstheme="minorHAnsi"/>
          <w:color w:val="000000" w:themeColor="text1"/>
        </w:rPr>
        <w:t>a possibilité de qualifier de couverture un instrument déjà existant,</w:t>
      </w:r>
    </w:p>
    <w:p w14:paraId="75472190" w14:textId="30074EEC" w:rsidR="00644DE9" w:rsidRPr="003F1B17" w:rsidRDefault="00ED489C" w:rsidP="00644DE9">
      <w:pPr>
        <w:pStyle w:val="Paragraphedeliste"/>
        <w:numPr>
          <w:ilvl w:val="0"/>
          <w:numId w:val="4"/>
        </w:numPr>
        <w:spacing w:line="259" w:lineRule="auto"/>
        <w:jc w:val="both"/>
        <w:rPr>
          <w:rFonts w:asciiTheme="minorHAnsi" w:hAnsiTheme="minorHAnsi" w:cstheme="minorHAnsi"/>
          <w:color w:val="000000" w:themeColor="text1"/>
        </w:rPr>
      </w:pPr>
      <w:r>
        <w:rPr>
          <w:rFonts w:asciiTheme="minorHAnsi" w:hAnsiTheme="minorHAnsi" w:cstheme="minorHAnsi"/>
          <w:color w:val="000000" w:themeColor="text1"/>
        </w:rPr>
        <w:t>L</w:t>
      </w:r>
      <w:r w:rsidR="00644DE9" w:rsidRPr="003F1B17">
        <w:rPr>
          <w:rFonts w:asciiTheme="minorHAnsi" w:hAnsiTheme="minorHAnsi" w:cstheme="minorHAnsi"/>
          <w:color w:val="000000" w:themeColor="text1"/>
        </w:rPr>
        <w:t xml:space="preserve">es opérations de couverture sur des matières premières, </w:t>
      </w:r>
    </w:p>
    <w:p w14:paraId="44DF8560" w14:textId="251B17A9" w:rsidR="00644DE9" w:rsidRPr="003F1B17" w:rsidRDefault="00ED489C" w:rsidP="00644DE9">
      <w:pPr>
        <w:pStyle w:val="Paragraphedeliste"/>
        <w:numPr>
          <w:ilvl w:val="0"/>
          <w:numId w:val="4"/>
        </w:numPr>
        <w:spacing w:line="259" w:lineRule="auto"/>
        <w:jc w:val="both"/>
        <w:rPr>
          <w:rFonts w:asciiTheme="minorHAnsi" w:hAnsiTheme="minorHAnsi" w:cstheme="minorHAnsi"/>
          <w:color w:val="000000" w:themeColor="text1"/>
        </w:rPr>
      </w:pPr>
      <w:r>
        <w:rPr>
          <w:rFonts w:asciiTheme="minorHAnsi" w:hAnsiTheme="minorHAnsi" w:cstheme="minorHAnsi"/>
          <w:color w:val="000000" w:themeColor="text1"/>
        </w:rPr>
        <w:t>L</w:t>
      </w:r>
      <w:r w:rsidR="00644DE9" w:rsidRPr="003F1B17">
        <w:rPr>
          <w:rFonts w:asciiTheme="minorHAnsi" w:hAnsiTheme="minorHAnsi" w:cstheme="minorHAnsi"/>
          <w:color w:val="000000" w:themeColor="text1"/>
        </w:rPr>
        <w:t xml:space="preserve">e traitement comptable en cas de rupture d'une relation de couverture avant le terme de l’élément couvert.  </w:t>
      </w:r>
    </w:p>
    <w:p w14:paraId="4E0C9BA6" w14:textId="77777777" w:rsidR="00644DE9" w:rsidRPr="003F1B17" w:rsidRDefault="00644DE9" w:rsidP="00644DE9">
      <w:pPr>
        <w:spacing w:line="259" w:lineRule="auto"/>
        <w:jc w:val="both"/>
        <w:rPr>
          <w:rFonts w:asciiTheme="minorHAnsi" w:hAnsiTheme="minorHAnsi" w:cstheme="minorHAnsi"/>
          <w:color w:val="000000" w:themeColor="text1"/>
        </w:rPr>
      </w:pPr>
    </w:p>
    <w:p w14:paraId="54BC1F19" w14:textId="77777777" w:rsidR="00644DE9" w:rsidRPr="003F1B17" w:rsidRDefault="00644DE9" w:rsidP="00644DE9">
      <w:pPr>
        <w:spacing w:line="259" w:lineRule="auto"/>
        <w:jc w:val="both"/>
        <w:rPr>
          <w:rFonts w:asciiTheme="minorHAnsi" w:hAnsiTheme="minorHAnsi" w:cstheme="minorHAnsi"/>
          <w:b/>
          <w:color w:val="000000" w:themeColor="text1"/>
        </w:rPr>
      </w:pPr>
      <w:r w:rsidRPr="003F1B17">
        <w:rPr>
          <w:rFonts w:asciiTheme="minorHAnsi" w:hAnsiTheme="minorHAnsi" w:cstheme="minorHAnsi"/>
          <w:color w:val="000000" w:themeColor="text1"/>
        </w:rPr>
        <w:t xml:space="preserve">Ne seront présentés ci-après que les modifications apportées au </w:t>
      </w:r>
      <w:r w:rsidRPr="003F1B17">
        <w:rPr>
          <w:rFonts w:asciiTheme="minorHAnsi" w:hAnsiTheme="minorHAnsi" w:cstheme="minorHAnsi"/>
          <w:b/>
          <w:color w:val="000000" w:themeColor="text1"/>
        </w:rPr>
        <w:t xml:space="preserve">traitement comptable des actifs et passifs dont la valeur dépend des fluctuations des monnaies étrangères. </w:t>
      </w:r>
    </w:p>
    <w:p w14:paraId="5001DC38" w14:textId="77777777" w:rsidR="00644DE9" w:rsidRPr="003F1B17" w:rsidRDefault="00644DE9" w:rsidP="00644DE9">
      <w:pPr>
        <w:spacing w:line="259" w:lineRule="auto"/>
        <w:jc w:val="both"/>
        <w:rPr>
          <w:rFonts w:asciiTheme="minorHAnsi" w:hAnsiTheme="minorHAnsi" w:cstheme="minorHAnsi"/>
          <w:color w:val="000000" w:themeColor="text1"/>
        </w:rPr>
      </w:pPr>
    </w:p>
    <w:p w14:paraId="726A3DE3" w14:textId="77777777" w:rsidR="00644DE9" w:rsidRPr="003F1B17" w:rsidRDefault="00644DE9" w:rsidP="00644DE9">
      <w:pPr>
        <w:pBdr>
          <w:top w:val="single" w:sz="4" w:space="1" w:color="auto"/>
          <w:left w:val="single" w:sz="4" w:space="4" w:color="auto"/>
          <w:bottom w:val="single" w:sz="4" w:space="1" w:color="auto"/>
          <w:right w:val="single" w:sz="4" w:space="4" w:color="auto"/>
        </w:pBd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L’article 420-1 est modifié « En cas d’acquisition d’actif en monnaie étrangère, le taux de conversion utilisé est le taux de change à la date d’entrée. En cas de couverture de cette acquisition, l’effet de la couverture est intégré à la valeur d’entrée de l’actif. Les frais engagés pour mettre en place les couvertures et les éléments prévus aux articles 628-12 et 628-13 peuvent également être intégrés au coût d’acquisition. »</w:t>
      </w:r>
    </w:p>
    <w:p w14:paraId="70D51CBB" w14:textId="77777777" w:rsidR="00644DE9" w:rsidRPr="003F1B17" w:rsidRDefault="00644DE9" w:rsidP="00644DE9">
      <w:pPr>
        <w:spacing w:after="160" w:line="259" w:lineRule="auto"/>
        <w:jc w:val="both"/>
        <w:rPr>
          <w:rFonts w:asciiTheme="minorHAnsi" w:hAnsiTheme="minorHAnsi" w:cstheme="minorHAnsi"/>
          <w:color w:val="000000" w:themeColor="text1"/>
        </w:rPr>
      </w:pPr>
      <w:r w:rsidRPr="00B160AF">
        <w:rPr>
          <w:rFonts w:asciiTheme="minorHAnsi" w:hAnsiTheme="minorHAnsi" w:cstheme="minorHAnsi"/>
          <w:b/>
          <w:color w:val="000000" w:themeColor="text1"/>
        </w:rPr>
        <w:t>Auparavant</w:t>
      </w:r>
      <w:r w:rsidRPr="003F1B17">
        <w:rPr>
          <w:rFonts w:asciiTheme="minorHAnsi" w:hAnsiTheme="minorHAnsi" w:cstheme="minorHAnsi"/>
          <w:color w:val="000000" w:themeColor="text1"/>
        </w:rPr>
        <w:t xml:space="preserve">, en cas d’acquisition d’un actif en monnaie étrangère, le taux de conversion utilisé était celui de la couverture si celle-ci avait été prise </w:t>
      </w:r>
      <w:r w:rsidRPr="003F1B17">
        <w:rPr>
          <w:rFonts w:asciiTheme="minorHAnsi" w:hAnsiTheme="minorHAnsi" w:cstheme="minorHAnsi"/>
          <w:b/>
          <w:color w:val="000000" w:themeColor="text1"/>
        </w:rPr>
        <w:t>avant l’opération</w:t>
      </w:r>
      <w:r w:rsidRPr="003F1B17">
        <w:rPr>
          <w:rFonts w:asciiTheme="minorHAnsi" w:hAnsiTheme="minorHAnsi" w:cstheme="minorHAnsi"/>
          <w:color w:val="000000" w:themeColor="text1"/>
        </w:rPr>
        <w:t xml:space="preserve">. </w:t>
      </w:r>
      <w:r w:rsidRPr="00B160AF">
        <w:rPr>
          <w:rFonts w:asciiTheme="minorHAnsi" w:hAnsiTheme="minorHAnsi" w:cstheme="minorHAnsi"/>
          <w:b/>
          <w:color w:val="000000" w:themeColor="text1"/>
        </w:rPr>
        <w:t>Désormais</w:t>
      </w:r>
      <w:r w:rsidRPr="003F1B17">
        <w:rPr>
          <w:rFonts w:asciiTheme="minorHAnsi" w:hAnsiTheme="minorHAnsi" w:cstheme="minorHAnsi"/>
          <w:color w:val="000000" w:themeColor="text1"/>
        </w:rPr>
        <w:t xml:space="preserve">, cette condition n’est plus nécessaire. </w:t>
      </w:r>
    </w:p>
    <w:p w14:paraId="3ABC2819" w14:textId="77777777" w:rsidR="00644DE9" w:rsidRPr="003F1B17" w:rsidRDefault="00644DE9" w:rsidP="00644DE9">
      <w:pPr>
        <w:pBdr>
          <w:top w:val="single" w:sz="4" w:space="1" w:color="auto"/>
          <w:left w:val="single" w:sz="4" w:space="4" w:color="auto"/>
          <w:bottom w:val="single" w:sz="4" w:space="1" w:color="auto"/>
          <w:right w:val="single" w:sz="4" w:space="4" w:color="auto"/>
        </w:pBd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L’article 420-6 du PCG est modifié. Il dispose : « Lorsque les circonstances suppriment en tout ou partie le risque de perte, les provisions sont ajustées en conséquence. Il en est ainsi dans les cas suivants :  </w:t>
      </w:r>
    </w:p>
    <w:p w14:paraId="5F5B0BCA" w14:textId="77777777" w:rsidR="00644DE9" w:rsidRPr="003F1B17" w:rsidRDefault="00644DE9" w:rsidP="00644DE9">
      <w:pPr>
        <w:pBdr>
          <w:top w:val="single" w:sz="4" w:space="1" w:color="auto"/>
          <w:left w:val="single" w:sz="4" w:space="4" w:color="auto"/>
          <w:bottom w:val="single" w:sz="4" w:space="1" w:color="auto"/>
          <w:right w:val="single" w:sz="4" w:space="4" w:color="auto"/>
        </w:pBd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1. Lorsque l’opération traitée en devises est assortie par l’entité d’une opération symétrique destinées à couvrir les conséquences de la fluctuation du change, appelée couverture de change conformément à l’article 628-6, la provision n’est constituée qu’à concurrence du risque non couvert. </w:t>
      </w:r>
    </w:p>
    <w:p w14:paraId="42E033E0" w14:textId="09541CC9" w:rsidR="00644DE9" w:rsidRPr="003F1B17" w:rsidRDefault="00644DE9" w:rsidP="00644DE9">
      <w:pPr>
        <w:pBdr>
          <w:top w:val="single" w:sz="4" w:space="1" w:color="auto"/>
          <w:left w:val="single" w:sz="4" w:space="4" w:color="auto"/>
          <w:bottom w:val="single" w:sz="4" w:space="1" w:color="auto"/>
          <w:right w:val="single" w:sz="4" w:space="4" w:color="auto"/>
        </w:pBd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2. Lorsqu’une opération en devise sur laquelle est constatée une perte latente est qualifiée d’instrument de couverture conformément à l’article 628-7 celle-ci ne donne lieu à aucune provision. </w:t>
      </w:r>
    </w:p>
    <w:p w14:paraId="2E32FD01" w14:textId="048B9C4F" w:rsidR="00644DE9" w:rsidRPr="003F1B17" w:rsidRDefault="00644DE9" w:rsidP="00644DE9">
      <w:pPr>
        <w:pBdr>
          <w:top w:val="single" w:sz="4" w:space="1" w:color="auto"/>
          <w:left w:val="single" w:sz="4" w:space="4" w:color="auto"/>
          <w:bottom w:val="single" w:sz="4" w:space="1" w:color="auto"/>
          <w:right w:val="single" w:sz="4" w:space="4" w:color="auto"/>
        </w:pBd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3. Lorsque pour des opérations dont les termes sont suffisamment voisins, les pertes et les gains latents peuvent être considérés comme concourant à une position globale de change, le montant de la dotation peut être limité à l’excédent des pertes sur les gains. Il est précisé que</w:t>
      </w:r>
      <w:r w:rsidR="003F1B17">
        <w:rPr>
          <w:rFonts w:asciiTheme="minorHAnsi" w:hAnsiTheme="minorHAnsi" w:cstheme="minorHAnsi"/>
          <w:color w:val="000000" w:themeColor="text1"/>
        </w:rPr>
        <w:t xml:space="preserve"> </w:t>
      </w:r>
      <w:r w:rsidRPr="003F1B17">
        <w:rPr>
          <w:rFonts w:asciiTheme="minorHAnsi" w:hAnsiTheme="minorHAnsi" w:cstheme="minorHAnsi"/>
          <w:color w:val="000000" w:themeColor="text1"/>
        </w:rPr>
        <w:t xml:space="preserve">: </w:t>
      </w:r>
    </w:p>
    <w:p w14:paraId="7520E707" w14:textId="77777777" w:rsidR="00644DE9" w:rsidRPr="003F1B17" w:rsidRDefault="00644DE9" w:rsidP="00644DE9">
      <w:pPr>
        <w:pBdr>
          <w:top w:val="single" w:sz="4" w:space="1" w:color="auto"/>
          <w:left w:val="single" w:sz="4" w:space="4" w:color="auto"/>
          <w:bottom w:val="single" w:sz="4" w:space="1" w:color="auto"/>
          <w:right w:val="single" w:sz="4" w:space="4" w:color="auto"/>
        </w:pBd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 La position doit être déterminée devise par devise ; </w:t>
      </w:r>
    </w:p>
    <w:p w14:paraId="0A4BE551" w14:textId="77777777" w:rsidR="00644DE9" w:rsidRPr="003F1B17" w:rsidRDefault="00644DE9" w:rsidP="00644DE9">
      <w:pPr>
        <w:pBdr>
          <w:top w:val="single" w:sz="4" w:space="1" w:color="auto"/>
          <w:left w:val="single" w:sz="4" w:space="4" w:color="auto"/>
          <w:bottom w:val="single" w:sz="4" w:space="1" w:color="auto"/>
          <w:right w:val="single" w:sz="4" w:space="4" w:color="auto"/>
        </w:pBd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 Les opérations de couverture et les éléments couverts sont exclus de cette position ; </w:t>
      </w:r>
    </w:p>
    <w:p w14:paraId="1CA90BF3" w14:textId="43FC1AAA" w:rsidR="00644DE9" w:rsidRPr="003F1B17" w:rsidRDefault="00644DE9" w:rsidP="00644DE9">
      <w:pPr>
        <w:pBdr>
          <w:top w:val="single" w:sz="4" w:space="1" w:color="auto"/>
          <w:left w:val="single" w:sz="4" w:space="4" w:color="auto"/>
          <w:bottom w:val="single" w:sz="4" w:space="1" w:color="auto"/>
          <w:right w:val="single" w:sz="4" w:space="4" w:color="auto"/>
        </w:pBd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 L’échéance des éléments inclus dans la position doit être comprise dans le même exercice comptable; </w:t>
      </w:r>
    </w:p>
    <w:p w14:paraId="1C3C339C" w14:textId="77777777" w:rsidR="00644DE9" w:rsidRPr="003F1B17" w:rsidRDefault="00644DE9" w:rsidP="00644DE9">
      <w:pPr>
        <w:pBdr>
          <w:top w:val="single" w:sz="4" w:space="1" w:color="auto"/>
          <w:left w:val="single" w:sz="4" w:space="4" w:color="auto"/>
          <w:bottom w:val="single" w:sz="4" w:space="1" w:color="auto"/>
          <w:right w:val="single" w:sz="4" w:space="4" w:color="auto"/>
        </w:pBd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 Ne doivent être inclus dans la position que des éléments réalisables (notamment des créances, dettes, instruments financiers à terme) ; </w:t>
      </w:r>
    </w:p>
    <w:p w14:paraId="7426E603" w14:textId="04E26D8C" w:rsidR="00644DE9" w:rsidRPr="003F1B17" w:rsidRDefault="00644DE9" w:rsidP="00E14B8A">
      <w:pPr>
        <w:pBdr>
          <w:top w:val="single" w:sz="4" w:space="1" w:color="auto"/>
          <w:left w:val="single" w:sz="4" w:space="4" w:color="auto"/>
          <w:bottom w:val="single" w:sz="4" w:space="1" w:color="auto"/>
          <w:right w:val="single" w:sz="4" w:space="4" w:color="auto"/>
        </w:pBd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 La position est utilisée uniquement pour la détermination de la provision. » </w:t>
      </w:r>
    </w:p>
    <w:p w14:paraId="13530019" w14:textId="77777777" w:rsidR="00644DE9" w:rsidRPr="003F1B17" w:rsidRDefault="00644DE9" w:rsidP="00644DE9">
      <w:pPr>
        <w:spacing w:line="259" w:lineRule="auto"/>
        <w:jc w:val="both"/>
        <w:rPr>
          <w:rFonts w:asciiTheme="minorHAnsi" w:hAnsiTheme="minorHAnsi" w:cstheme="minorHAnsi"/>
          <w:color w:val="000000" w:themeColor="text1"/>
        </w:rPr>
      </w:pPr>
    </w:p>
    <w:p w14:paraId="655BEBB3" w14:textId="77777777" w:rsidR="00ED489C" w:rsidRDefault="00ED489C" w:rsidP="00644DE9">
      <w:pPr>
        <w:spacing w:line="259" w:lineRule="auto"/>
        <w:jc w:val="both"/>
        <w:rPr>
          <w:rFonts w:asciiTheme="minorHAnsi" w:hAnsiTheme="minorHAnsi" w:cstheme="minorHAnsi"/>
          <w:color w:val="000000" w:themeColor="text1"/>
        </w:rPr>
      </w:pPr>
    </w:p>
    <w:p w14:paraId="72376E0F" w14:textId="22A66ACC" w:rsidR="00644DE9" w:rsidRPr="003F1B17" w:rsidRDefault="00644DE9" w:rsidP="00644DE9">
      <w:pPr>
        <w:spacing w:line="259" w:lineRule="auto"/>
        <w:jc w:val="both"/>
        <w:rPr>
          <w:rFonts w:asciiTheme="minorHAnsi" w:hAnsiTheme="minorHAnsi" w:cstheme="minorHAnsi"/>
          <w:color w:val="000000" w:themeColor="text1"/>
        </w:rPr>
      </w:pPr>
      <w:r w:rsidRPr="00ED489C">
        <w:rPr>
          <w:rFonts w:asciiTheme="minorHAnsi" w:hAnsiTheme="minorHAnsi" w:cstheme="minorHAnsi"/>
          <w:b/>
          <w:color w:val="000000" w:themeColor="text1"/>
        </w:rPr>
        <w:t>Auparavant</w:t>
      </w:r>
      <w:r w:rsidRPr="003F1B17">
        <w:rPr>
          <w:rFonts w:asciiTheme="minorHAnsi" w:hAnsiTheme="minorHAnsi" w:cstheme="minorHAnsi"/>
          <w:color w:val="000000" w:themeColor="text1"/>
        </w:rPr>
        <w:t xml:space="preserve">, le PCG prévoyait 5 cas d’ajustement de la provision pour perte de change (Article 420-6 du PCG). Ces cas étaient les suivants : </w:t>
      </w:r>
    </w:p>
    <w:p w14:paraId="53863161" w14:textId="77777777" w:rsidR="00644DE9" w:rsidRPr="003F1B17" w:rsidRDefault="00644DE9" w:rsidP="00644DE9">
      <w:pPr>
        <w:pStyle w:val="Paragraphedeliste"/>
        <w:numPr>
          <w:ilvl w:val="0"/>
          <w:numId w:val="3"/>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L’existence d’une couverture de change ; </w:t>
      </w:r>
    </w:p>
    <w:p w14:paraId="5E2140DC" w14:textId="77777777" w:rsidR="00644DE9" w:rsidRPr="003F1B17" w:rsidRDefault="00644DE9" w:rsidP="00644DE9">
      <w:pPr>
        <w:pStyle w:val="Paragraphedeliste"/>
        <w:numPr>
          <w:ilvl w:val="0"/>
          <w:numId w:val="3"/>
        </w:numPr>
        <w:spacing w:line="259" w:lineRule="auto"/>
        <w:jc w:val="both"/>
        <w:rPr>
          <w:rFonts w:asciiTheme="minorHAnsi" w:hAnsiTheme="minorHAnsi" w:cstheme="minorHAnsi"/>
          <w:b/>
          <w:color w:val="000000" w:themeColor="text1"/>
        </w:rPr>
      </w:pPr>
      <w:r w:rsidRPr="003F1B17">
        <w:rPr>
          <w:rFonts w:asciiTheme="minorHAnsi" w:hAnsiTheme="minorHAnsi" w:cstheme="minorHAnsi"/>
          <w:b/>
          <w:color w:val="000000" w:themeColor="text1"/>
        </w:rPr>
        <w:t xml:space="preserve">Un emprunt en devises affecté à l’acquisition d’immobilisations situées dans un pays ayant la même devise que celle de l’emprunt ; </w:t>
      </w:r>
    </w:p>
    <w:p w14:paraId="3CC223F8" w14:textId="77777777" w:rsidR="00644DE9" w:rsidRPr="003F1B17" w:rsidRDefault="00644DE9" w:rsidP="00644DE9">
      <w:pPr>
        <w:pStyle w:val="Paragraphedeliste"/>
        <w:numPr>
          <w:ilvl w:val="0"/>
          <w:numId w:val="3"/>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L’existence d’une position globale de change ; </w:t>
      </w:r>
    </w:p>
    <w:p w14:paraId="7EEAB815" w14:textId="77777777" w:rsidR="00644DE9" w:rsidRPr="003F1B17" w:rsidRDefault="00FA102C" w:rsidP="00644DE9">
      <w:pPr>
        <w:pStyle w:val="Paragraphedeliste"/>
        <w:numPr>
          <w:ilvl w:val="0"/>
          <w:numId w:val="3"/>
        </w:numPr>
        <w:spacing w:line="259" w:lineRule="auto"/>
        <w:jc w:val="both"/>
        <w:rPr>
          <w:rFonts w:asciiTheme="minorHAnsi" w:hAnsiTheme="minorHAnsi" w:cstheme="minorHAnsi"/>
          <w:b/>
          <w:color w:val="000000" w:themeColor="text1"/>
        </w:rPr>
      </w:pPr>
      <w:r w:rsidRPr="003F1B17">
        <w:rPr>
          <w:rFonts w:asciiTheme="minorHAnsi" w:hAnsiTheme="minorHAnsi" w:cstheme="minorHAnsi"/>
          <w:b/>
          <w:color w:val="000000" w:themeColor="text1"/>
        </w:rPr>
        <w:t>Un e</w:t>
      </w:r>
      <w:r w:rsidR="00644DE9" w:rsidRPr="003F1B17">
        <w:rPr>
          <w:rFonts w:asciiTheme="minorHAnsi" w:hAnsiTheme="minorHAnsi" w:cstheme="minorHAnsi"/>
          <w:b/>
          <w:color w:val="000000" w:themeColor="text1"/>
        </w:rPr>
        <w:t xml:space="preserve">mprunt en devises obtenu à des conditions plus avantageuses qu’un emprunt en € ; </w:t>
      </w:r>
    </w:p>
    <w:p w14:paraId="0DA4F96A" w14:textId="77777777" w:rsidR="00644DE9" w:rsidRPr="003F1B17" w:rsidRDefault="00FA102C" w:rsidP="00644DE9">
      <w:pPr>
        <w:pStyle w:val="Paragraphedeliste"/>
        <w:numPr>
          <w:ilvl w:val="0"/>
          <w:numId w:val="3"/>
        </w:numPr>
        <w:spacing w:line="259" w:lineRule="auto"/>
        <w:jc w:val="both"/>
        <w:rPr>
          <w:rFonts w:asciiTheme="minorHAnsi" w:hAnsiTheme="minorHAnsi" w:cstheme="minorHAnsi"/>
          <w:b/>
          <w:color w:val="000000" w:themeColor="text1"/>
        </w:rPr>
      </w:pPr>
      <w:r w:rsidRPr="003F1B17">
        <w:rPr>
          <w:rFonts w:asciiTheme="minorHAnsi" w:hAnsiTheme="minorHAnsi" w:cstheme="minorHAnsi"/>
          <w:b/>
          <w:color w:val="000000" w:themeColor="text1"/>
        </w:rPr>
        <w:t>Des o</w:t>
      </w:r>
      <w:r w:rsidR="00644DE9" w:rsidRPr="003F1B17">
        <w:rPr>
          <w:rFonts w:asciiTheme="minorHAnsi" w:hAnsiTheme="minorHAnsi" w:cstheme="minorHAnsi"/>
          <w:b/>
          <w:color w:val="000000" w:themeColor="text1"/>
        </w:rPr>
        <w:t xml:space="preserve">pérations affectant plusieurs exercices. </w:t>
      </w:r>
    </w:p>
    <w:p w14:paraId="0D010DAF" w14:textId="77777777" w:rsidR="00644DE9" w:rsidRPr="003F1B17" w:rsidRDefault="00644DE9" w:rsidP="00644DE9">
      <w:pPr>
        <w:spacing w:line="259" w:lineRule="auto"/>
        <w:jc w:val="both"/>
        <w:rPr>
          <w:rFonts w:asciiTheme="minorHAnsi" w:hAnsiTheme="minorHAnsi" w:cstheme="minorHAnsi"/>
          <w:color w:val="000000" w:themeColor="text1"/>
        </w:rPr>
      </w:pPr>
    </w:p>
    <w:p w14:paraId="7C76B28F" w14:textId="77777777" w:rsidR="00644DE9" w:rsidRPr="003F1B17" w:rsidRDefault="00644DE9" w:rsidP="00644DE9">
      <w:pPr>
        <w:spacing w:line="259" w:lineRule="auto"/>
        <w:jc w:val="both"/>
        <w:rPr>
          <w:rFonts w:asciiTheme="minorHAnsi" w:hAnsiTheme="minorHAnsi" w:cstheme="minorHAnsi"/>
          <w:color w:val="000000" w:themeColor="text1"/>
        </w:rPr>
      </w:pPr>
      <w:r w:rsidRPr="00ED489C">
        <w:rPr>
          <w:rFonts w:asciiTheme="minorHAnsi" w:hAnsiTheme="minorHAnsi" w:cstheme="minorHAnsi"/>
          <w:b/>
          <w:color w:val="000000" w:themeColor="text1"/>
        </w:rPr>
        <w:t>Désormais</w:t>
      </w:r>
      <w:r w:rsidRPr="003F1B17">
        <w:rPr>
          <w:rFonts w:asciiTheme="minorHAnsi" w:hAnsiTheme="minorHAnsi" w:cstheme="minorHAnsi"/>
          <w:color w:val="000000" w:themeColor="text1"/>
        </w:rPr>
        <w:t xml:space="preserve">, les cas </w:t>
      </w:r>
      <w:r w:rsidRPr="003F1B17">
        <w:rPr>
          <w:rFonts w:asciiTheme="minorHAnsi" w:hAnsiTheme="minorHAnsi" w:cstheme="minorHAnsi"/>
          <w:b/>
          <w:color w:val="000000" w:themeColor="text1"/>
        </w:rPr>
        <w:t>2, 4 et 5 sont supprimés</w:t>
      </w:r>
      <w:r w:rsidRPr="003F1B17">
        <w:rPr>
          <w:rFonts w:asciiTheme="minorHAnsi" w:hAnsiTheme="minorHAnsi" w:cstheme="minorHAnsi"/>
          <w:color w:val="000000" w:themeColor="text1"/>
        </w:rPr>
        <w:t xml:space="preserve"> et un </w:t>
      </w:r>
      <w:r w:rsidRPr="003F1B17">
        <w:rPr>
          <w:rFonts w:asciiTheme="minorHAnsi" w:hAnsiTheme="minorHAnsi" w:cstheme="minorHAnsi"/>
          <w:b/>
          <w:color w:val="000000" w:themeColor="text1"/>
        </w:rPr>
        <w:t>nouveau cas est prévu</w:t>
      </w:r>
      <w:r w:rsidRPr="003F1B17">
        <w:rPr>
          <w:rFonts w:asciiTheme="minorHAnsi" w:hAnsiTheme="minorHAnsi" w:cstheme="minorHAnsi"/>
          <w:color w:val="000000" w:themeColor="text1"/>
        </w:rPr>
        <w:t> : « Lorsqu’une opération en devise sur laquelle est constatée une perte latente est qualifiée d’instrument de couverture conformément à l’article 628-7, celle-ci ne donne lieu à aucune provision ».</w:t>
      </w:r>
    </w:p>
    <w:p w14:paraId="70AD1CCB" w14:textId="77777777" w:rsidR="00644DE9" w:rsidRPr="003F1B17" w:rsidRDefault="00644DE9" w:rsidP="00644DE9">
      <w:pPr>
        <w:spacing w:line="259" w:lineRule="auto"/>
        <w:jc w:val="both"/>
        <w:rPr>
          <w:rFonts w:asciiTheme="minorHAnsi" w:hAnsiTheme="minorHAnsi" w:cstheme="minorHAnsi"/>
          <w:color w:val="000000" w:themeColor="text1"/>
        </w:rPr>
      </w:pPr>
    </w:p>
    <w:p w14:paraId="3C3699E6" w14:textId="230047E6" w:rsidR="00644DE9" w:rsidRPr="003F1B17" w:rsidRDefault="00644DE9" w:rsidP="00644DE9">
      <w:p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Le </w:t>
      </w:r>
      <w:r w:rsidRPr="003F1B17">
        <w:rPr>
          <w:rFonts w:asciiTheme="minorHAnsi" w:hAnsiTheme="minorHAnsi" w:cstheme="minorHAnsi"/>
          <w:b/>
          <w:color w:val="000000" w:themeColor="text1"/>
        </w:rPr>
        <w:t>point 3 relatif à la position globale de change est précisé</w:t>
      </w:r>
      <w:r w:rsidRPr="003F1B17">
        <w:rPr>
          <w:rFonts w:asciiTheme="minorHAnsi" w:hAnsiTheme="minorHAnsi" w:cstheme="minorHAnsi"/>
          <w:color w:val="000000" w:themeColor="text1"/>
        </w:rPr>
        <w:t>. La position globale de change n’est pas un substitut de comptabilité de couvert</w:t>
      </w:r>
      <w:r w:rsidR="00E308A1">
        <w:rPr>
          <w:rFonts w:asciiTheme="minorHAnsi" w:hAnsiTheme="minorHAnsi" w:cstheme="minorHAnsi"/>
          <w:color w:val="000000" w:themeColor="text1"/>
        </w:rPr>
        <w:t>ur</w:t>
      </w:r>
      <w:r w:rsidRPr="003F1B17">
        <w:rPr>
          <w:rFonts w:asciiTheme="minorHAnsi" w:hAnsiTheme="minorHAnsi" w:cstheme="minorHAnsi"/>
          <w:color w:val="000000" w:themeColor="text1"/>
        </w:rPr>
        <w:t xml:space="preserve">e mais elle est utilisée uniquement pour la détermination de la provision. </w:t>
      </w:r>
      <w:r w:rsidR="00E308A1">
        <w:rPr>
          <w:rFonts w:asciiTheme="minorHAnsi" w:hAnsiTheme="minorHAnsi" w:cstheme="minorHAnsi"/>
          <w:color w:val="000000" w:themeColor="text1"/>
        </w:rPr>
        <w:t xml:space="preserve">Cette position </w:t>
      </w:r>
      <w:r w:rsidR="00E308A1" w:rsidRPr="00E308A1">
        <w:rPr>
          <w:rFonts w:asciiTheme="minorHAnsi" w:hAnsiTheme="minorHAnsi" w:cstheme="minorHAnsi"/>
          <w:color w:val="000000" w:themeColor="text1"/>
        </w:rPr>
        <w:t>s’évalue devise par devise ou par groupe de devises corrélées.</w:t>
      </w:r>
      <w:r w:rsidR="00E308A1" w:rsidRPr="003F1B17">
        <w:rPr>
          <w:rFonts w:asciiTheme="minorHAnsi" w:hAnsiTheme="minorHAnsi" w:cstheme="minorHAnsi"/>
          <w:color w:val="000000" w:themeColor="text1"/>
        </w:rPr>
        <w:t xml:space="preserve"> </w:t>
      </w:r>
      <w:r w:rsidRPr="003F1B17">
        <w:rPr>
          <w:rFonts w:asciiTheme="minorHAnsi" w:hAnsiTheme="minorHAnsi" w:cstheme="minorHAnsi"/>
          <w:color w:val="000000" w:themeColor="text1"/>
        </w:rPr>
        <w:t xml:space="preserve">La note de présentation du règlement ANC 2015-05 apporte des précisions, en excluant tous </w:t>
      </w:r>
      <w:r w:rsidR="00E308A1">
        <w:rPr>
          <w:rFonts w:asciiTheme="minorHAnsi" w:hAnsiTheme="minorHAnsi" w:cstheme="minorHAnsi"/>
          <w:color w:val="000000" w:themeColor="text1"/>
        </w:rPr>
        <w:t xml:space="preserve">les </w:t>
      </w:r>
      <w:r w:rsidRPr="003F1B17">
        <w:rPr>
          <w:rFonts w:asciiTheme="minorHAnsi" w:hAnsiTheme="minorHAnsi" w:cstheme="minorHAnsi"/>
          <w:color w:val="000000" w:themeColor="text1"/>
        </w:rPr>
        <w:t xml:space="preserve">éléments prévisionnels pour son calcul et en rappelant la nécessité de formaliser celle-ci. </w:t>
      </w:r>
    </w:p>
    <w:p w14:paraId="15BAD3AA" w14:textId="77777777" w:rsidR="00644DE9" w:rsidRPr="003F1B17" w:rsidRDefault="00644DE9" w:rsidP="00644DE9">
      <w:pPr>
        <w:spacing w:line="259" w:lineRule="auto"/>
        <w:jc w:val="both"/>
        <w:rPr>
          <w:rFonts w:asciiTheme="minorHAnsi" w:hAnsiTheme="minorHAnsi" w:cstheme="minorHAnsi"/>
          <w:color w:val="000000" w:themeColor="text1"/>
        </w:rPr>
      </w:pPr>
    </w:p>
    <w:p w14:paraId="3B56E2B2" w14:textId="77777777"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Enfin, la présentation dans le compte de résultat est modifiée. Le résultat de change peut-être enregistré en </w:t>
      </w:r>
      <w:r w:rsidRPr="003F1B17">
        <w:rPr>
          <w:rFonts w:asciiTheme="minorHAnsi" w:hAnsiTheme="minorHAnsi" w:cstheme="minorHAnsi"/>
          <w:b/>
          <w:color w:val="000000" w:themeColor="text1"/>
        </w:rPr>
        <w:t>résultat d’exploitation</w:t>
      </w:r>
      <w:r w:rsidRPr="003F1B17">
        <w:rPr>
          <w:rFonts w:asciiTheme="minorHAnsi" w:hAnsiTheme="minorHAnsi" w:cstheme="minorHAnsi"/>
          <w:color w:val="000000" w:themeColor="text1"/>
        </w:rPr>
        <w:t xml:space="preserve"> ou en </w:t>
      </w:r>
      <w:r w:rsidRPr="003F1B17">
        <w:rPr>
          <w:rFonts w:asciiTheme="minorHAnsi" w:hAnsiTheme="minorHAnsi" w:cstheme="minorHAnsi"/>
          <w:b/>
          <w:color w:val="000000" w:themeColor="text1"/>
        </w:rPr>
        <w:t>résultat financier</w:t>
      </w:r>
      <w:r w:rsidRPr="003F1B17">
        <w:rPr>
          <w:rFonts w:asciiTheme="minorHAnsi" w:hAnsiTheme="minorHAnsi" w:cstheme="minorHAnsi"/>
          <w:color w:val="000000" w:themeColor="text1"/>
        </w:rPr>
        <w:t xml:space="preserve"> </w:t>
      </w:r>
      <w:r w:rsidRPr="003F1B17">
        <w:rPr>
          <w:rFonts w:asciiTheme="minorHAnsi" w:hAnsiTheme="minorHAnsi" w:cstheme="minorHAnsi"/>
          <w:b/>
          <w:color w:val="000000" w:themeColor="text1"/>
        </w:rPr>
        <w:t>en fonction de la nature des opérations l’ayant généré</w:t>
      </w:r>
      <w:r w:rsidRPr="003F1B17">
        <w:rPr>
          <w:rFonts w:asciiTheme="minorHAnsi" w:hAnsiTheme="minorHAnsi" w:cstheme="minorHAnsi"/>
          <w:color w:val="000000" w:themeColor="text1"/>
        </w:rPr>
        <w:t xml:space="preserve">. </w:t>
      </w:r>
    </w:p>
    <w:p w14:paraId="0F439A83" w14:textId="77777777" w:rsidR="00644DE9" w:rsidRPr="003F1B17" w:rsidRDefault="00644DE9" w:rsidP="00644DE9">
      <w:pPr>
        <w:spacing w:line="259" w:lineRule="auto"/>
        <w:jc w:val="both"/>
        <w:rPr>
          <w:rFonts w:asciiTheme="minorHAnsi" w:hAnsiTheme="minorHAnsi" w:cstheme="minorHAnsi"/>
          <w:b/>
          <w:color w:val="000000" w:themeColor="text1"/>
        </w:rPr>
      </w:pPr>
      <w:r w:rsidRPr="003F1B17">
        <w:rPr>
          <w:rFonts w:asciiTheme="minorHAnsi" w:hAnsiTheme="minorHAnsi" w:cstheme="minorHAnsi"/>
          <w:b/>
          <w:color w:val="000000" w:themeColor="text1"/>
        </w:rPr>
        <w:t xml:space="preserve">Les comptes suivants sont insérés/renommées : </w:t>
      </w:r>
    </w:p>
    <w:p w14:paraId="2F8B50E2" w14:textId="77777777" w:rsidR="00644DE9" w:rsidRPr="003F1B17" w:rsidRDefault="00644DE9" w:rsidP="00644DE9">
      <w:p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 « 656 - Pertes de change sur créances et dettes commerciales »</w:t>
      </w:r>
    </w:p>
    <w:p w14:paraId="0EAAB7E9" w14:textId="77777777" w:rsidR="00644DE9" w:rsidRPr="003F1B17" w:rsidRDefault="00644DE9" w:rsidP="00644DE9">
      <w:p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 756 - Gains de change sur créances et dettes commerciales » </w:t>
      </w:r>
    </w:p>
    <w:p w14:paraId="465E15E6" w14:textId="77777777" w:rsidR="00644DE9" w:rsidRPr="003F1B17" w:rsidRDefault="00644DE9" w:rsidP="00644DE9">
      <w:p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 « 666 - Pertes de change financières » </w:t>
      </w:r>
    </w:p>
    <w:p w14:paraId="227AF17F" w14:textId="77777777" w:rsidR="00644DE9" w:rsidRPr="003F1B17" w:rsidRDefault="00644DE9" w:rsidP="00644DE9">
      <w:p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 766 - Gains de change financiers ». </w:t>
      </w:r>
    </w:p>
    <w:p w14:paraId="618F5FEA" w14:textId="77777777" w:rsidR="00644DE9" w:rsidRPr="003F1B17" w:rsidRDefault="00644DE9" w:rsidP="00644DE9">
      <w:pPr>
        <w:spacing w:line="259" w:lineRule="auto"/>
        <w:jc w:val="both"/>
        <w:rPr>
          <w:rFonts w:asciiTheme="minorHAnsi" w:hAnsiTheme="minorHAnsi" w:cstheme="minorHAnsi"/>
          <w:color w:val="000000" w:themeColor="text1"/>
        </w:rPr>
      </w:pPr>
    </w:p>
    <w:p w14:paraId="545F787C" w14:textId="77777777" w:rsidR="00644DE9" w:rsidRPr="00364FBB" w:rsidRDefault="000550A9" w:rsidP="00644DE9">
      <w:pPr>
        <w:spacing w:line="259" w:lineRule="auto"/>
        <w:jc w:val="both"/>
        <w:rPr>
          <w:rFonts w:asciiTheme="minorHAnsi" w:hAnsiTheme="minorHAnsi" w:cstheme="minorHAnsi"/>
          <w:b/>
          <w:color w:val="000000" w:themeColor="text1"/>
          <w:u w:val="single"/>
        </w:rPr>
      </w:pPr>
      <w:hyperlink r:id="rId10" w:history="1">
        <w:r w:rsidR="00644DE9" w:rsidRPr="00364FBB">
          <w:rPr>
            <w:rStyle w:val="Lienhypertexte"/>
            <w:rFonts w:asciiTheme="minorHAnsi" w:hAnsiTheme="minorHAnsi" w:cstheme="minorHAnsi"/>
            <w:b/>
          </w:rPr>
          <w:t>Règlement ANC n°2015-05 du 2 juillet 2015 relatif aux instruments financiers à terme et aux opérations de couverture</w:t>
        </w:r>
      </w:hyperlink>
    </w:p>
    <w:p w14:paraId="6D9E1D23" w14:textId="77777777" w:rsidR="00644DE9" w:rsidRPr="00364FBB" w:rsidRDefault="00644DE9" w:rsidP="00644DE9">
      <w:pPr>
        <w:spacing w:line="259" w:lineRule="auto"/>
        <w:jc w:val="both"/>
        <w:rPr>
          <w:rFonts w:asciiTheme="minorHAnsi" w:hAnsiTheme="minorHAnsi" w:cstheme="minorHAnsi"/>
          <w:b/>
          <w:color w:val="000000" w:themeColor="text1"/>
          <w:u w:val="single"/>
        </w:rPr>
      </w:pPr>
    </w:p>
    <w:p w14:paraId="65D0BDBA" w14:textId="77777777" w:rsidR="00644DE9" w:rsidRPr="00364FBB" w:rsidRDefault="000550A9" w:rsidP="00644DE9">
      <w:pPr>
        <w:spacing w:after="160" w:line="259" w:lineRule="auto"/>
        <w:jc w:val="both"/>
        <w:rPr>
          <w:rStyle w:val="Lienhypertexte"/>
          <w:rFonts w:asciiTheme="minorHAnsi" w:hAnsiTheme="minorHAnsi" w:cstheme="minorHAnsi"/>
          <w:b/>
        </w:rPr>
      </w:pPr>
      <w:hyperlink r:id="rId11" w:history="1">
        <w:r w:rsidR="00644DE9" w:rsidRPr="00364FBB">
          <w:rPr>
            <w:rStyle w:val="Lienhypertexte"/>
            <w:rFonts w:asciiTheme="minorHAnsi" w:hAnsiTheme="minorHAnsi" w:cstheme="minorHAnsi"/>
            <w:b/>
          </w:rPr>
          <w:t>Note de présentation du règlement ANC n°2015-05 du 2 juillet 2015 relatif aux instruments financiers à terme et aux opérations de couverture</w:t>
        </w:r>
      </w:hyperlink>
    </w:p>
    <w:p w14:paraId="140B65B6" w14:textId="200CAB6C" w:rsidR="00644DE9" w:rsidRDefault="00C739F7" w:rsidP="00644DE9">
      <w:pPr>
        <w:spacing w:after="160" w:line="259" w:lineRule="auto"/>
        <w:jc w:val="both"/>
        <w:rPr>
          <w:rFonts w:asciiTheme="minorHAnsi" w:hAnsiTheme="minorHAnsi" w:cstheme="minorHAnsi"/>
          <w:color w:val="000000" w:themeColor="text1"/>
        </w:rPr>
      </w:pPr>
      <w:r>
        <w:rPr>
          <w:rFonts w:asciiTheme="minorHAnsi" w:hAnsiTheme="minorHAnsi" w:cstheme="minorHAnsi"/>
          <w:color w:val="000000" w:themeColor="text1"/>
        </w:rPr>
        <w:t>Un</w:t>
      </w:r>
      <w:r w:rsidR="00B160AF">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article sur </w:t>
      </w:r>
      <w:bookmarkStart w:id="3" w:name="_GoBack"/>
      <w:bookmarkEnd w:id="3"/>
      <w:r>
        <w:rPr>
          <w:rFonts w:asciiTheme="minorHAnsi" w:hAnsiTheme="minorHAnsi" w:cstheme="minorHAnsi"/>
          <w:color w:val="000000" w:themeColor="text1"/>
        </w:rPr>
        <w:t xml:space="preserve">la comptabilisation des opérations de couverture est publié en date </w:t>
      </w:r>
      <w:r w:rsidR="00B160AF">
        <w:rPr>
          <w:rFonts w:asciiTheme="minorHAnsi" w:hAnsiTheme="minorHAnsi" w:cstheme="minorHAnsi"/>
          <w:color w:val="000000" w:themeColor="text1"/>
        </w:rPr>
        <w:t>3 janvier 2017 (UE10 du DCG)</w:t>
      </w:r>
      <w:r>
        <w:rPr>
          <w:rFonts w:asciiTheme="minorHAnsi" w:hAnsiTheme="minorHAnsi" w:cstheme="minorHAnsi"/>
          <w:color w:val="000000" w:themeColor="text1"/>
        </w:rPr>
        <w:t>, sur le site du CRCF</w:t>
      </w:r>
      <w:r w:rsidR="00E308A1" w:rsidRPr="00E308A1">
        <w:rPr>
          <w:rFonts w:asciiTheme="minorHAnsi" w:hAnsiTheme="minorHAnsi" w:cstheme="minorHAnsi"/>
          <w:color w:val="000000" w:themeColor="text1"/>
        </w:rPr>
        <w:t>.</w:t>
      </w:r>
    </w:p>
    <w:p w14:paraId="3B065371" w14:textId="77777777" w:rsidR="00E308A1" w:rsidRPr="00E308A1" w:rsidRDefault="00E308A1" w:rsidP="00644DE9">
      <w:pPr>
        <w:spacing w:after="160" w:line="259" w:lineRule="auto"/>
        <w:jc w:val="both"/>
        <w:rPr>
          <w:rFonts w:asciiTheme="minorHAnsi" w:hAnsiTheme="minorHAnsi" w:cstheme="minorHAnsi"/>
          <w:color w:val="000000" w:themeColor="text1"/>
        </w:rPr>
      </w:pPr>
    </w:p>
    <w:p w14:paraId="1449A221" w14:textId="554D36C7" w:rsidR="00644DE9" w:rsidRPr="00E14B8A" w:rsidRDefault="00E14B8A" w:rsidP="00364FBB">
      <w:pPr>
        <w:pStyle w:val="Titre2"/>
        <w:ind w:firstLine="708"/>
        <w:rPr>
          <w:rFonts w:ascii="Calibri" w:eastAsia="Times New Roman" w:hAnsi="Calibri" w:cs="Calibri"/>
          <w:b/>
          <w:i/>
          <w:color w:val="auto"/>
          <w:sz w:val="24"/>
          <w:szCs w:val="24"/>
          <w:lang w:eastAsia="fr-FR"/>
        </w:rPr>
      </w:pPr>
      <w:bookmarkStart w:id="4" w:name="_Toc471757692"/>
      <w:r>
        <w:rPr>
          <w:rFonts w:ascii="Calibri" w:eastAsia="Times New Roman" w:hAnsi="Calibri" w:cs="Calibri"/>
          <w:b/>
          <w:i/>
          <w:color w:val="auto"/>
          <w:sz w:val="24"/>
          <w:szCs w:val="24"/>
          <w:lang w:eastAsia="fr-FR"/>
        </w:rPr>
        <w:t xml:space="preserve">1.2 </w:t>
      </w:r>
      <w:r w:rsidR="00644DE9" w:rsidRPr="00E14B8A">
        <w:rPr>
          <w:rFonts w:ascii="Calibri" w:eastAsia="Times New Roman" w:hAnsi="Calibri" w:cs="Calibri"/>
          <w:b/>
          <w:i/>
          <w:color w:val="auto"/>
          <w:sz w:val="24"/>
          <w:szCs w:val="24"/>
          <w:lang w:eastAsia="fr-FR"/>
        </w:rPr>
        <w:t>Modifications du PCG (règlement ANC n° 2015-06 du 23 novembre 2015)</w:t>
      </w:r>
      <w:bookmarkEnd w:id="4"/>
      <w:r w:rsidR="00644DE9" w:rsidRPr="00E14B8A">
        <w:rPr>
          <w:rFonts w:ascii="Calibri" w:eastAsia="Times New Roman" w:hAnsi="Calibri" w:cs="Calibri"/>
          <w:b/>
          <w:i/>
          <w:color w:val="auto"/>
          <w:sz w:val="24"/>
          <w:szCs w:val="24"/>
          <w:lang w:eastAsia="fr-FR"/>
        </w:rPr>
        <w:t> </w:t>
      </w:r>
    </w:p>
    <w:p w14:paraId="67DD8981" w14:textId="77777777" w:rsidR="00644DE9" w:rsidRPr="003F1B17" w:rsidRDefault="00644DE9" w:rsidP="00644DE9">
      <w:pPr>
        <w:pStyle w:val="Paragraphedeliste"/>
        <w:jc w:val="both"/>
        <w:rPr>
          <w:rFonts w:asciiTheme="minorHAnsi" w:eastAsia="Times New Roman" w:hAnsiTheme="minorHAnsi" w:cstheme="minorHAnsi"/>
          <w:b/>
          <w:i/>
          <w:lang w:eastAsia="fr-FR"/>
        </w:rPr>
      </w:pPr>
    </w:p>
    <w:p w14:paraId="38F0F893" w14:textId="77777777"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La directive comptable 2013/34/UE du Parlement européen et du Conseil du 26 juin 2013 relative aux états financiers annuels, aux états financiers consolidés et aux rapports y afférents de certaines formes d'entreprises a été transposée dans le droit français par l’ordonnance n° 2015-900 et le décret n° 2015-903 du 23 juillet 2015 relatifs aux obligations comptables des commerçants publiés au journal officiel du 24 ju</w:t>
      </w:r>
      <w:r w:rsidR="00FA102C" w:rsidRPr="003F1B17">
        <w:rPr>
          <w:rFonts w:asciiTheme="minorHAnsi" w:hAnsiTheme="minorHAnsi" w:cstheme="minorHAnsi"/>
          <w:color w:val="000000" w:themeColor="text1"/>
        </w:rPr>
        <w:t>illet 2015</w:t>
      </w:r>
      <w:r w:rsidRPr="003F1B17">
        <w:rPr>
          <w:rFonts w:asciiTheme="minorHAnsi" w:hAnsiTheme="minorHAnsi" w:cstheme="minorHAnsi"/>
          <w:color w:val="000000" w:themeColor="text1"/>
        </w:rPr>
        <w:t xml:space="preserve">.  </w:t>
      </w:r>
    </w:p>
    <w:p w14:paraId="0F7CE9A9" w14:textId="77777777"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Par conséquent, l’ANC a été amenée à revoir certaines règles comptables applicables aux comptes annuels des entreprises industrielles et commerciales.</w:t>
      </w:r>
    </w:p>
    <w:p w14:paraId="58E38BD2" w14:textId="77777777" w:rsidR="00C21C0C" w:rsidRDefault="00C21C0C" w:rsidP="00644DE9">
      <w:pPr>
        <w:spacing w:line="300" w:lineRule="atLeast"/>
        <w:jc w:val="both"/>
        <w:rPr>
          <w:rFonts w:asciiTheme="minorHAnsi" w:hAnsiTheme="minorHAnsi" w:cstheme="minorHAnsi"/>
          <w:color w:val="000000"/>
        </w:rPr>
      </w:pPr>
    </w:p>
    <w:p w14:paraId="0E069521" w14:textId="77777777" w:rsidR="00C21C0C" w:rsidRDefault="00C21C0C" w:rsidP="00644DE9">
      <w:pPr>
        <w:spacing w:line="300" w:lineRule="atLeast"/>
        <w:jc w:val="both"/>
        <w:rPr>
          <w:rFonts w:asciiTheme="minorHAnsi" w:hAnsiTheme="minorHAnsi" w:cstheme="minorHAnsi"/>
          <w:color w:val="000000"/>
        </w:rPr>
      </w:pPr>
    </w:p>
    <w:p w14:paraId="7361F268" w14:textId="77777777" w:rsidR="004362B4" w:rsidRDefault="004362B4" w:rsidP="00644DE9">
      <w:pPr>
        <w:spacing w:line="300" w:lineRule="atLeast"/>
        <w:jc w:val="both"/>
        <w:rPr>
          <w:rFonts w:asciiTheme="minorHAnsi" w:hAnsiTheme="minorHAnsi" w:cstheme="minorHAnsi"/>
          <w:color w:val="000000"/>
        </w:rPr>
      </w:pPr>
    </w:p>
    <w:p w14:paraId="461CAC18" w14:textId="54A90642" w:rsidR="00644DE9" w:rsidRPr="003F1B17" w:rsidRDefault="00644DE9" w:rsidP="00644DE9">
      <w:pPr>
        <w:spacing w:line="300" w:lineRule="atLeast"/>
        <w:jc w:val="both"/>
        <w:rPr>
          <w:rFonts w:asciiTheme="minorHAnsi" w:hAnsiTheme="minorHAnsi" w:cstheme="minorHAnsi"/>
          <w:color w:val="000000"/>
        </w:rPr>
      </w:pPr>
      <w:r w:rsidRPr="003F1B17">
        <w:rPr>
          <w:rFonts w:asciiTheme="minorHAnsi" w:hAnsiTheme="minorHAnsi" w:cstheme="minorHAnsi"/>
          <w:color w:val="000000"/>
        </w:rPr>
        <w:t xml:space="preserve">Le règlement ANC n° 2015-06 du 23 novembre 2015 modifiant le règlement n° 2014-03 relatif au Plan comptable général </w:t>
      </w:r>
      <w:r w:rsidRPr="003F1B17">
        <w:rPr>
          <w:rFonts w:asciiTheme="minorHAnsi" w:hAnsiTheme="minorHAnsi" w:cstheme="minorHAnsi"/>
        </w:rPr>
        <w:t>modifie</w:t>
      </w:r>
      <w:r w:rsidRPr="003F1B17">
        <w:rPr>
          <w:rFonts w:asciiTheme="minorHAnsi" w:hAnsiTheme="minorHAnsi" w:cstheme="minorHAnsi"/>
          <w:color w:val="FF0000"/>
        </w:rPr>
        <w:t xml:space="preserve"> </w:t>
      </w:r>
      <w:r w:rsidRPr="003F1B17">
        <w:rPr>
          <w:rFonts w:asciiTheme="minorHAnsi" w:hAnsiTheme="minorHAnsi" w:cstheme="minorHAnsi"/>
          <w:color w:val="000000"/>
        </w:rPr>
        <w:t xml:space="preserve">notamment pour les comptes annuels, les points suivants : </w:t>
      </w:r>
    </w:p>
    <w:p w14:paraId="5502FB4B"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les règles d’amortissement et de dépréciation des actifs corporels et incorporels, en particulier du fonds commercial ainsi que sa définition ; </w:t>
      </w:r>
    </w:p>
    <w:p w14:paraId="6E6F5FA2"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le mali technique de fusion ; </w:t>
      </w:r>
    </w:p>
    <w:p w14:paraId="41B4BF90"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les informations à mentionner dans l’annexe des comptes annuels.</w:t>
      </w:r>
    </w:p>
    <w:p w14:paraId="4E25DEF0" w14:textId="581E125A" w:rsidR="00644DE9" w:rsidRDefault="00644DE9" w:rsidP="00644DE9">
      <w:pPr>
        <w:rPr>
          <w:rFonts w:asciiTheme="minorHAnsi" w:hAnsiTheme="minorHAnsi" w:cstheme="minorHAnsi"/>
          <w:color w:val="000000"/>
        </w:rPr>
      </w:pPr>
      <w:r w:rsidRPr="003F1B17">
        <w:rPr>
          <w:rFonts w:asciiTheme="minorHAnsi" w:hAnsiTheme="minorHAnsi" w:cstheme="minorHAnsi"/>
          <w:color w:val="000000"/>
        </w:rPr>
        <w:t xml:space="preserve">Ce règlement s’applique </w:t>
      </w:r>
      <w:r w:rsidRPr="00325761">
        <w:rPr>
          <w:rFonts w:asciiTheme="minorHAnsi" w:hAnsiTheme="minorHAnsi" w:cstheme="minorHAnsi"/>
          <w:b/>
          <w:color w:val="000000"/>
        </w:rPr>
        <w:t>aux exercices ouverts à</w:t>
      </w:r>
      <w:r w:rsidRPr="003F1B17">
        <w:rPr>
          <w:rFonts w:asciiTheme="minorHAnsi" w:hAnsiTheme="minorHAnsi" w:cstheme="minorHAnsi"/>
          <w:color w:val="000000"/>
        </w:rPr>
        <w:t xml:space="preserve"> </w:t>
      </w:r>
      <w:r w:rsidRPr="00325761">
        <w:rPr>
          <w:rFonts w:asciiTheme="minorHAnsi" w:hAnsiTheme="minorHAnsi" w:cstheme="minorHAnsi"/>
          <w:b/>
          <w:color w:val="000000"/>
        </w:rPr>
        <w:t>compter du 1</w:t>
      </w:r>
      <w:r w:rsidRPr="00325761">
        <w:rPr>
          <w:rFonts w:asciiTheme="minorHAnsi" w:hAnsiTheme="minorHAnsi" w:cstheme="minorHAnsi"/>
          <w:b/>
          <w:color w:val="000000"/>
          <w:vertAlign w:val="superscript"/>
        </w:rPr>
        <w:t>er</w:t>
      </w:r>
      <w:r w:rsidRPr="00325761">
        <w:rPr>
          <w:rFonts w:asciiTheme="minorHAnsi" w:hAnsiTheme="minorHAnsi" w:cstheme="minorHAnsi"/>
          <w:b/>
          <w:color w:val="000000"/>
        </w:rPr>
        <w:t xml:space="preserve"> janvier 2016</w:t>
      </w:r>
      <w:r w:rsidRPr="003F1B17">
        <w:rPr>
          <w:rFonts w:asciiTheme="minorHAnsi" w:hAnsiTheme="minorHAnsi" w:cstheme="minorHAnsi"/>
          <w:color w:val="000000"/>
        </w:rPr>
        <w:t>.</w:t>
      </w:r>
    </w:p>
    <w:p w14:paraId="14B2DA51" w14:textId="77777777" w:rsidR="004362B4" w:rsidRPr="003F1B17" w:rsidRDefault="004362B4" w:rsidP="00644DE9">
      <w:pPr>
        <w:rPr>
          <w:rFonts w:asciiTheme="minorHAnsi" w:hAnsiTheme="minorHAnsi" w:cstheme="minorHAnsi"/>
          <w:color w:val="000000"/>
        </w:rPr>
      </w:pPr>
    </w:p>
    <w:p w14:paraId="1DE67F0C" w14:textId="77777777" w:rsidR="00644DE9" w:rsidRPr="003F1B17" w:rsidRDefault="00644DE9" w:rsidP="00644DE9">
      <w:pPr>
        <w:rPr>
          <w:rFonts w:asciiTheme="minorHAnsi" w:hAnsiTheme="minorHAnsi" w:cstheme="minorHAnsi"/>
          <w:color w:val="000000"/>
        </w:rPr>
      </w:pPr>
    </w:p>
    <w:p w14:paraId="7E4F6EAB" w14:textId="66DD3D5B" w:rsidR="00644DE9" w:rsidRPr="00B4527B" w:rsidRDefault="00644DE9" w:rsidP="00B4527B">
      <w:pPr>
        <w:pStyle w:val="Titre3"/>
        <w:rPr>
          <w:rFonts w:ascii="Calibri" w:hAnsi="Calibri" w:cs="Calibri"/>
          <w:b/>
          <w:color w:val="auto"/>
          <w:sz w:val="22"/>
          <w:szCs w:val="22"/>
          <w:u w:val="single"/>
        </w:rPr>
      </w:pPr>
      <w:bookmarkStart w:id="5" w:name="_Toc471757693"/>
      <w:r w:rsidRPr="00B4527B">
        <w:rPr>
          <w:rFonts w:ascii="Calibri" w:hAnsi="Calibri" w:cs="Calibri"/>
          <w:b/>
          <w:color w:val="auto"/>
          <w:sz w:val="22"/>
          <w:szCs w:val="22"/>
          <w:u w:val="single"/>
        </w:rPr>
        <w:t>Les règles d’amortissement et de dépréciation des actifs corporels et incorporels (hors fonds de commerce)</w:t>
      </w:r>
      <w:bookmarkEnd w:id="5"/>
      <w:r w:rsidRPr="00B4527B">
        <w:rPr>
          <w:rFonts w:ascii="Calibri" w:hAnsi="Calibri" w:cs="Calibri"/>
          <w:b/>
          <w:color w:val="auto"/>
          <w:sz w:val="22"/>
          <w:szCs w:val="22"/>
          <w:u w:val="single"/>
        </w:rPr>
        <w:t xml:space="preserve"> </w:t>
      </w:r>
    </w:p>
    <w:p w14:paraId="5087B9FB" w14:textId="77777777" w:rsidR="00E308A1" w:rsidRPr="00E308A1" w:rsidRDefault="00E308A1" w:rsidP="00644DE9">
      <w:pPr>
        <w:jc w:val="both"/>
        <w:rPr>
          <w:rFonts w:asciiTheme="minorHAnsi" w:hAnsiTheme="minorHAnsi" w:cstheme="minorHAnsi"/>
          <w:b/>
          <w:color w:val="000000" w:themeColor="text1"/>
          <w:u w:val="single"/>
        </w:rPr>
      </w:pPr>
    </w:p>
    <w:p w14:paraId="48558C6F" w14:textId="77777777" w:rsidR="00644DE9" w:rsidRPr="003F1B17" w:rsidRDefault="00644DE9" w:rsidP="00644DE9">
      <w:pPr>
        <w:jc w:val="both"/>
        <w:rPr>
          <w:rFonts w:asciiTheme="minorHAnsi" w:hAnsiTheme="minorHAnsi" w:cstheme="minorHAnsi"/>
          <w:b/>
          <w:color w:val="000000" w:themeColor="text1"/>
        </w:rPr>
      </w:pPr>
      <w:r w:rsidRPr="003F1B17">
        <w:rPr>
          <w:rFonts w:asciiTheme="minorHAnsi" w:hAnsiTheme="minorHAnsi" w:cstheme="minorHAnsi"/>
          <w:color w:val="000000" w:themeColor="text1"/>
        </w:rPr>
        <w:t xml:space="preserve">A titre liminaire, il convient de noter que l’ordonnance et le décret n’ont pas modifié la plupart des modalités d’évaluation des amortissements des actifs immobilisés telles que : </w:t>
      </w:r>
    </w:p>
    <w:p w14:paraId="14F950F9"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La date de départ des amortissements ;</w:t>
      </w:r>
    </w:p>
    <w:p w14:paraId="3BA42158"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Le plan et le mode d’amortissement ;</w:t>
      </w:r>
    </w:p>
    <w:p w14:paraId="22A01259"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La révision prospective du plan d’amortissement. </w:t>
      </w:r>
    </w:p>
    <w:p w14:paraId="71ECB0F4" w14:textId="77777777" w:rsidR="00644DE9" w:rsidRPr="003F1B17" w:rsidRDefault="00644DE9" w:rsidP="00644DE9">
      <w:pPr>
        <w:spacing w:line="259" w:lineRule="auto"/>
        <w:rPr>
          <w:rFonts w:asciiTheme="minorHAnsi" w:hAnsiTheme="minorHAnsi" w:cstheme="minorHAnsi"/>
          <w:color w:val="000000" w:themeColor="text1"/>
          <w:highlight w:val="green"/>
        </w:rPr>
      </w:pPr>
    </w:p>
    <w:p w14:paraId="5F88A446" w14:textId="77777777" w:rsidR="00161BDA" w:rsidRDefault="00644DE9" w:rsidP="00644DE9">
      <w:pPr>
        <w:spacing w:line="259" w:lineRule="auto"/>
        <w:jc w:val="both"/>
        <w:rPr>
          <w:rFonts w:asciiTheme="minorHAnsi" w:hAnsiTheme="minorHAnsi" w:cstheme="minorHAnsi"/>
          <w:b/>
          <w:color w:val="000000" w:themeColor="text1"/>
        </w:rPr>
      </w:pPr>
      <w:r w:rsidRPr="003F1B17">
        <w:rPr>
          <w:rFonts w:asciiTheme="minorHAnsi" w:hAnsiTheme="minorHAnsi" w:cstheme="minorHAnsi"/>
          <w:b/>
          <w:color w:val="000000" w:themeColor="text1"/>
        </w:rPr>
        <w:t xml:space="preserve">Les principales nouveautés portent sur la notion de durée d’utilisation limitée ou non des actifs immobilisés pour qualifier leur caractère amortissable. </w:t>
      </w:r>
    </w:p>
    <w:p w14:paraId="56FA82F8" w14:textId="77777777" w:rsidR="00161BDA" w:rsidRDefault="00161BDA" w:rsidP="00644DE9">
      <w:pPr>
        <w:spacing w:line="259" w:lineRule="auto"/>
        <w:jc w:val="both"/>
        <w:rPr>
          <w:rFonts w:asciiTheme="minorHAnsi" w:hAnsiTheme="minorHAnsi" w:cstheme="minorHAnsi"/>
          <w:b/>
          <w:color w:val="000000" w:themeColor="text1"/>
        </w:rPr>
      </w:pPr>
    </w:p>
    <w:p w14:paraId="204D6B91" w14:textId="0BE95026" w:rsidR="00644DE9" w:rsidRPr="00684AAA" w:rsidRDefault="00552504" w:rsidP="00644DE9">
      <w:pPr>
        <w:spacing w:line="259" w:lineRule="auto"/>
        <w:jc w:val="both"/>
        <w:rPr>
          <w:rFonts w:asciiTheme="minorHAnsi" w:hAnsiTheme="minorHAnsi" w:cstheme="minorHAnsi"/>
          <w:color w:val="000000" w:themeColor="text1"/>
        </w:rPr>
      </w:pPr>
      <w:r w:rsidRPr="00161BDA">
        <w:rPr>
          <w:rFonts w:asciiTheme="minorHAnsi" w:hAnsiTheme="minorHAnsi" w:cstheme="minorHAnsi"/>
          <w:b/>
          <w:color w:val="000000" w:themeColor="text1"/>
        </w:rPr>
        <w:t>Auparavant</w:t>
      </w:r>
      <w:r w:rsidRPr="00552504">
        <w:rPr>
          <w:rFonts w:asciiTheme="minorHAnsi" w:hAnsiTheme="minorHAnsi" w:cstheme="minorHAnsi"/>
          <w:color w:val="000000" w:themeColor="text1"/>
        </w:rPr>
        <w:t>,</w:t>
      </w:r>
      <w:r>
        <w:rPr>
          <w:rFonts w:asciiTheme="minorHAnsi" w:hAnsiTheme="minorHAnsi" w:cstheme="minorHAnsi"/>
          <w:b/>
          <w:color w:val="000000" w:themeColor="text1"/>
        </w:rPr>
        <w:t xml:space="preserve"> </w:t>
      </w:r>
      <w:r w:rsidR="00161BDA" w:rsidRPr="00161BDA">
        <w:rPr>
          <w:rFonts w:asciiTheme="minorHAnsi" w:hAnsiTheme="minorHAnsi" w:cstheme="minorHAnsi"/>
          <w:color w:val="000000" w:themeColor="text1"/>
        </w:rPr>
        <w:t>un actif amortissable était un actif dont l'utilisation par l'entité était déterminable (ancienne rédaction de l’article 214-1 du PCG).</w:t>
      </w:r>
      <w:r w:rsidR="00161BDA">
        <w:rPr>
          <w:rFonts w:asciiTheme="minorHAnsi" w:hAnsiTheme="minorHAnsi" w:cstheme="minorHAnsi"/>
          <w:b/>
          <w:color w:val="000000" w:themeColor="text1"/>
        </w:rPr>
        <w:t xml:space="preserve"> </w:t>
      </w:r>
      <w:r w:rsidR="00684AAA">
        <w:rPr>
          <w:rFonts w:asciiTheme="minorHAnsi" w:hAnsiTheme="minorHAnsi" w:cstheme="minorHAnsi"/>
          <w:b/>
          <w:color w:val="000000" w:themeColor="text1"/>
        </w:rPr>
        <w:t xml:space="preserve">Désormais, </w:t>
      </w:r>
      <w:r w:rsidR="00684AAA" w:rsidRPr="00684AAA">
        <w:rPr>
          <w:rFonts w:asciiTheme="minorHAnsi" w:hAnsiTheme="minorHAnsi" w:cstheme="minorHAnsi"/>
          <w:color w:val="000000" w:themeColor="text1"/>
        </w:rPr>
        <w:t>un</w:t>
      </w:r>
      <w:r w:rsidR="00161BDA" w:rsidRPr="00684AAA">
        <w:rPr>
          <w:rFonts w:asciiTheme="minorHAnsi" w:hAnsiTheme="minorHAnsi" w:cstheme="minorHAnsi"/>
          <w:color w:val="000000" w:themeColor="text1"/>
        </w:rPr>
        <w:t xml:space="preserve"> actif immobilisé </w:t>
      </w:r>
      <w:r w:rsidR="00684AAA" w:rsidRPr="00684AAA">
        <w:rPr>
          <w:rFonts w:asciiTheme="minorHAnsi" w:hAnsiTheme="minorHAnsi" w:cstheme="minorHAnsi"/>
          <w:color w:val="000000" w:themeColor="text1"/>
        </w:rPr>
        <w:t>est amortissable lor</w:t>
      </w:r>
      <w:r w:rsidR="00684AAA">
        <w:rPr>
          <w:rFonts w:asciiTheme="minorHAnsi" w:hAnsiTheme="minorHAnsi" w:cstheme="minorHAnsi"/>
          <w:color w:val="000000" w:themeColor="text1"/>
        </w:rPr>
        <w:t>s</w:t>
      </w:r>
      <w:r w:rsidR="00684AAA" w:rsidRPr="00684AAA">
        <w:rPr>
          <w:rFonts w:asciiTheme="minorHAnsi" w:hAnsiTheme="minorHAnsi" w:cstheme="minorHAnsi"/>
          <w:color w:val="000000" w:themeColor="text1"/>
        </w:rPr>
        <w:t xml:space="preserve">que sa durée d’utilisation est limitée. </w:t>
      </w:r>
    </w:p>
    <w:p w14:paraId="552454F1" w14:textId="77777777" w:rsidR="00644DE9" w:rsidRPr="003F1B17" w:rsidRDefault="00644DE9" w:rsidP="00644DE9">
      <w:pPr>
        <w:spacing w:line="259" w:lineRule="auto"/>
        <w:rPr>
          <w:rFonts w:asciiTheme="minorHAnsi" w:hAnsiTheme="minorHAnsi" w:cstheme="minorHAnsi"/>
          <w:color w:val="000000" w:themeColor="text1"/>
        </w:rPr>
      </w:pPr>
    </w:p>
    <w:p w14:paraId="6DDB9563" w14:textId="2971EA1F" w:rsidR="00644DE9" w:rsidRPr="003F1B17" w:rsidRDefault="00684AAA" w:rsidP="00644DE9">
      <w:pPr>
        <w:spacing w:line="259" w:lineRule="auto"/>
        <w:jc w:val="both"/>
        <w:rPr>
          <w:rFonts w:asciiTheme="minorHAnsi" w:hAnsiTheme="minorHAnsi" w:cstheme="minorHAnsi"/>
          <w:color w:val="000000" w:themeColor="text1"/>
        </w:rPr>
      </w:pPr>
      <w:r>
        <w:rPr>
          <w:rFonts w:asciiTheme="minorHAnsi" w:hAnsiTheme="minorHAnsi" w:cstheme="minorHAnsi"/>
          <w:color w:val="000000" w:themeColor="text1"/>
        </w:rPr>
        <w:t>Ainsi, l</w:t>
      </w:r>
      <w:r w:rsidR="00644DE9" w:rsidRPr="003F1B17">
        <w:rPr>
          <w:rFonts w:asciiTheme="minorHAnsi" w:hAnsiTheme="minorHAnsi" w:cstheme="minorHAnsi"/>
          <w:color w:val="000000" w:themeColor="text1"/>
        </w:rPr>
        <w:t xml:space="preserve">a durée d’utilisation d’un élément de l’actif immobilisé peut être limitée ou non. </w:t>
      </w:r>
    </w:p>
    <w:p w14:paraId="1BFEF020" w14:textId="77777777" w:rsidR="00644DE9" w:rsidRPr="003F1B17" w:rsidRDefault="00644DE9" w:rsidP="00644DE9">
      <w:pPr>
        <w:spacing w:line="259" w:lineRule="auto"/>
        <w:jc w:val="both"/>
        <w:rPr>
          <w:rFonts w:asciiTheme="minorHAnsi" w:hAnsiTheme="minorHAnsi" w:cstheme="minorHAnsi"/>
          <w:color w:val="000000" w:themeColor="text1"/>
        </w:rPr>
      </w:pPr>
    </w:p>
    <w:p w14:paraId="1E4ECA87" w14:textId="77777777" w:rsidR="00644DE9" w:rsidRPr="003F1B17" w:rsidRDefault="00644DE9" w:rsidP="00644DE9">
      <w:p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Le </w:t>
      </w:r>
      <w:r w:rsidRPr="003F1B17">
        <w:rPr>
          <w:rFonts w:asciiTheme="minorHAnsi" w:hAnsiTheme="minorHAnsi" w:cstheme="minorHAnsi"/>
          <w:b/>
          <w:color w:val="000000" w:themeColor="text1"/>
        </w:rPr>
        <w:t>caractère limité de la durée d’utilisation</w:t>
      </w:r>
      <w:r w:rsidRPr="003F1B17">
        <w:rPr>
          <w:rFonts w:asciiTheme="minorHAnsi" w:hAnsiTheme="minorHAnsi" w:cstheme="minorHAnsi"/>
          <w:color w:val="000000" w:themeColor="text1"/>
        </w:rPr>
        <w:t xml:space="preserve"> d’un actif est déterminé, </w:t>
      </w:r>
      <w:r w:rsidRPr="00F76CA5">
        <w:rPr>
          <w:rFonts w:asciiTheme="minorHAnsi" w:hAnsiTheme="minorHAnsi" w:cstheme="minorHAnsi"/>
          <w:b/>
          <w:color w:val="000000" w:themeColor="text1"/>
        </w:rPr>
        <w:t>soit à l’origine</w:t>
      </w:r>
      <w:r w:rsidRPr="003F1B17">
        <w:rPr>
          <w:rFonts w:asciiTheme="minorHAnsi" w:hAnsiTheme="minorHAnsi" w:cstheme="minorHAnsi"/>
          <w:b/>
          <w:color w:val="000000" w:themeColor="text1"/>
        </w:rPr>
        <w:t>, soit en cours d’utilisation en fonction de critères physiques, techniques, juridiques, ou économiques</w:t>
      </w:r>
      <w:r w:rsidRPr="003F1B17">
        <w:rPr>
          <w:rFonts w:asciiTheme="minorHAnsi" w:hAnsiTheme="minorHAnsi" w:cstheme="minorHAnsi"/>
          <w:color w:val="000000" w:themeColor="text1"/>
        </w:rPr>
        <w:t xml:space="preserve">, inhérents à l’actif. Si plusieurs critères sont pertinents, la durée d’utilisation la plus courte résultant de l'application de ces critères est retenue </w:t>
      </w:r>
      <w:r w:rsidRPr="003F1B17">
        <w:rPr>
          <w:rFonts w:asciiTheme="minorHAnsi" w:hAnsiTheme="minorHAnsi" w:cstheme="minorHAnsi"/>
          <w:iCs/>
          <w:color w:val="000000" w:themeColor="text1"/>
        </w:rPr>
        <w:t>(article 214-1 du PCG)</w:t>
      </w:r>
      <w:r w:rsidRPr="003F1B17">
        <w:rPr>
          <w:rFonts w:asciiTheme="minorHAnsi" w:hAnsiTheme="minorHAnsi" w:cstheme="minorHAnsi"/>
          <w:color w:val="000000" w:themeColor="text1"/>
        </w:rPr>
        <w:t>.</w:t>
      </w:r>
    </w:p>
    <w:p w14:paraId="4FBC5AC9" w14:textId="77777777" w:rsidR="00644DE9" w:rsidRPr="003F1B17" w:rsidRDefault="00644DE9" w:rsidP="00644DE9">
      <w:pPr>
        <w:spacing w:line="259" w:lineRule="auto"/>
        <w:jc w:val="both"/>
        <w:rPr>
          <w:rFonts w:asciiTheme="minorHAnsi" w:hAnsiTheme="minorHAnsi" w:cstheme="minorHAnsi"/>
          <w:color w:val="000000" w:themeColor="text1"/>
        </w:rPr>
      </w:pPr>
    </w:p>
    <w:p w14:paraId="07F39E46" w14:textId="77777777" w:rsidR="00644DE9" w:rsidRPr="003F1B17" w:rsidRDefault="00644DE9" w:rsidP="00644DE9">
      <w:p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Le </w:t>
      </w:r>
      <w:r w:rsidRPr="003F1B17">
        <w:rPr>
          <w:rFonts w:asciiTheme="minorHAnsi" w:hAnsiTheme="minorHAnsi" w:cstheme="minorHAnsi"/>
          <w:b/>
          <w:color w:val="000000" w:themeColor="text1"/>
        </w:rPr>
        <w:t>caractère non limité de la durée d’utilisation</w:t>
      </w:r>
      <w:r w:rsidRPr="003F1B17">
        <w:rPr>
          <w:rFonts w:asciiTheme="minorHAnsi" w:hAnsiTheme="minorHAnsi" w:cstheme="minorHAnsi"/>
          <w:color w:val="000000" w:themeColor="text1"/>
        </w:rPr>
        <w:t xml:space="preserve"> d’un actif est déterminé à l’</w:t>
      </w:r>
      <w:r w:rsidRPr="003F1B17">
        <w:rPr>
          <w:rFonts w:asciiTheme="minorHAnsi" w:hAnsiTheme="minorHAnsi" w:cstheme="minorHAnsi"/>
          <w:b/>
          <w:color w:val="000000" w:themeColor="text1"/>
        </w:rPr>
        <w:t xml:space="preserve">origine </w:t>
      </w:r>
      <w:r w:rsidRPr="003F1B17">
        <w:rPr>
          <w:rFonts w:asciiTheme="minorHAnsi" w:hAnsiTheme="minorHAnsi" w:cstheme="minorHAnsi"/>
          <w:color w:val="000000" w:themeColor="text1"/>
        </w:rPr>
        <w:t xml:space="preserve">au regard de ces mêmes critères. L’analyse doit être effectuée actif par actif. </w:t>
      </w:r>
    </w:p>
    <w:p w14:paraId="280BA152" w14:textId="77777777" w:rsidR="00644DE9" w:rsidRPr="003F1B17" w:rsidRDefault="00644DE9" w:rsidP="00644DE9">
      <w:pPr>
        <w:spacing w:line="259" w:lineRule="auto"/>
        <w:jc w:val="both"/>
        <w:rPr>
          <w:rFonts w:asciiTheme="minorHAnsi" w:hAnsiTheme="minorHAnsi" w:cstheme="minorHAnsi"/>
          <w:color w:val="000000" w:themeColor="text1"/>
        </w:rPr>
      </w:pPr>
    </w:p>
    <w:p w14:paraId="6138A1FA" w14:textId="082106AB" w:rsidR="00644DE9" w:rsidRDefault="00644DE9" w:rsidP="00644DE9">
      <w:p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La note de présentation du règlement ANC 2015-06 apporte des précisions sur les critères à mettre en œuvre pour apprécier le caractère limité ou non de la durée d’utilisation d’un actif immobilisé.  Ces critères peuvent être physiques, techniques, juridiques, </w:t>
      </w:r>
      <w:r w:rsidRPr="00983673">
        <w:rPr>
          <w:rFonts w:asciiTheme="minorHAnsi" w:hAnsiTheme="minorHAnsi" w:cstheme="minorHAnsi"/>
          <w:b/>
          <w:color w:val="000000" w:themeColor="text1"/>
        </w:rPr>
        <w:t>ou économiques</w:t>
      </w:r>
      <w:r w:rsidRPr="003F1B17">
        <w:rPr>
          <w:rFonts w:asciiTheme="minorHAnsi" w:hAnsiTheme="minorHAnsi" w:cstheme="minorHAnsi"/>
          <w:color w:val="000000" w:themeColor="text1"/>
        </w:rPr>
        <w:t xml:space="preserve">. </w:t>
      </w:r>
      <w:r w:rsidR="00BB5824" w:rsidRPr="00BB5824">
        <w:rPr>
          <w:rFonts w:asciiTheme="minorHAnsi" w:hAnsiTheme="minorHAnsi" w:cstheme="minorHAnsi"/>
          <w:b/>
          <w:color w:val="000000" w:themeColor="text1"/>
        </w:rPr>
        <w:t>Auparavant</w:t>
      </w:r>
      <w:r w:rsidR="00BB5824">
        <w:rPr>
          <w:rFonts w:asciiTheme="minorHAnsi" w:hAnsiTheme="minorHAnsi" w:cstheme="minorHAnsi"/>
          <w:color w:val="000000" w:themeColor="text1"/>
        </w:rPr>
        <w:t xml:space="preserve">, l’article 214-1 du PCG ne mentionnait pas le critère économique mais uniquement les critères physiques, techniques, juridiques tout en précisant que ces critères n’étaient pas exhaustifs. </w:t>
      </w:r>
    </w:p>
    <w:p w14:paraId="54AACFD5" w14:textId="278B8679" w:rsidR="00644DE9" w:rsidRPr="003F1B17" w:rsidRDefault="00644DE9" w:rsidP="00644DE9">
      <w:pPr>
        <w:spacing w:line="259" w:lineRule="auto"/>
        <w:jc w:val="both"/>
        <w:rPr>
          <w:rFonts w:asciiTheme="minorHAnsi" w:hAnsiTheme="minorHAnsi" w:cstheme="minorHAnsi"/>
          <w:color w:val="000000" w:themeColor="text1"/>
        </w:rPr>
      </w:pPr>
    </w:p>
    <w:p w14:paraId="37F3FA51" w14:textId="77777777" w:rsidR="00644DE9" w:rsidRPr="003F1B17" w:rsidRDefault="00644DE9" w:rsidP="00644DE9">
      <w:p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Pour un actif incorporel, ces critères peuvent être les suivants : </w:t>
      </w:r>
    </w:p>
    <w:p w14:paraId="25D6CA65" w14:textId="77777777" w:rsidR="00644DE9" w:rsidRPr="003F1B17" w:rsidRDefault="00644DE9" w:rsidP="00644DE9">
      <w:pPr>
        <w:pStyle w:val="Paragraphedeliste"/>
        <w:numPr>
          <w:ilvl w:val="0"/>
          <w:numId w:val="1"/>
        </w:numPr>
        <w:spacing w:line="259" w:lineRule="auto"/>
        <w:rPr>
          <w:rFonts w:asciiTheme="minorHAnsi" w:hAnsiTheme="minorHAnsi" w:cstheme="minorHAnsi"/>
          <w:color w:val="000000" w:themeColor="text1"/>
        </w:rPr>
      </w:pPr>
      <w:r w:rsidRPr="003F1B17">
        <w:rPr>
          <w:rFonts w:asciiTheme="minorHAnsi" w:hAnsiTheme="minorHAnsi" w:cstheme="minorHAnsi"/>
          <w:color w:val="000000" w:themeColor="text1"/>
        </w:rPr>
        <w:t>Les cycles de vie des produits de produits similaires ;</w:t>
      </w:r>
    </w:p>
    <w:p w14:paraId="3C1F5DC8" w14:textId="77777777" w:rsidR="00644DE9" w:rsidRPr="003F1B17" w:rsidRDefault="00644DE9" w:rsidP="00644DE9">
      <w:pPr>
        <w:pStyle w:val="Paragraphedeliste"/>
        <w:numPr>
          <w:ilvl w:val="0"/>
          <w:numId w:val="1"/>
        </w:numPr>
        <w:spacing w:line="259" w:lineRule="auto"/>
        <w:rPr>
          <w:rFonts w:asciiTheme="minorHAnsi" w:hAnsiTheme="minorHAnsi" w:cstheme="minorHAnsi"/>
          <w:color w:val="000000" w:themeColor="text1"/>
        </w:rPr>
      </w:pPr>
      <w:r w:rsidRPr="003F1B17">
        <w:rPr>
          <w:rFonts w:asciiTheme="minorHAnsi" w:hAnsiTheme="minorHAnsi" w:cstheme="minorHAnsi"/>
          <w:color w:val="000000" w:themeColor="text1"/>
        </w:rPr>
        <w:t>L’obsolescence technologique, commerciale ou autre ;</w:t>
      </w:r>
    </w:p>
    <w:p w14:paraId="1A5D9A60" w14:textId="77777777" w:rsidR="00644DE9" w:rsidRPr="003F1B17" w:rsidRDefault="00644DE9" w:rsidP="00644DE9">
      <w:pPr>
        <w:pStyle w:val="Paragraphedeliste"/>
        <w:numPr>
          <w:ilvl w:val="0"/>
          <w:numId w:val="1"/>
        </w:numPr>
        <w:spacing w:line="259" w:lineRule="auto"/>
        <w:rPr>
          <w:rFonts w:asciiTheme="minorHAnsi" w:hAnsiTheme="minorHAnsi" w:cstheme="minorHAnsi"/>
          <w:color w:val="000000" w:themeColor="text1"/>
        </w:rPr>
      </w:pPr>
      <w:r w:rsidRPr="003F1B17">
        <w:rPr>
          <w:rFonts w:asciiTheme="minorHAnsi" w:hAnsiTheme="minorHAnsi" w:cstheme="minorHAnsi"/>
          <w:color w:val="000000" w:themeColor="text1"/>
        </w:rPr>
        <w:t xml:space="preserve">La stabilité du secteur ; </w:t>
      </w:r>
    </w:p>
    <w:p w14:paraId="13F80AC0" w14:textId="5753A0E3" w:rsidR="00644DE9" w:rsidRPr="003F1B17" w:rsidRDefault="00644DE9" w:rsidP="00644DE9">
      <w:pPr>
        <w:pStyle w:val="Paragraphedeliste"/>
        <w:numPr>
          <w:ilvl w:val="0"/>
          <w:numId w:val="1"/>
        </w:numPr>
        <w:spacing w:line="259" w:lineRule="auto"/>
        <w:rPr>
          <w:rFonts w:asciiTheme="minorHAnsi" w:hAnsiTheme="minorHAnsi" w:cstheme="minorHAnsi"/>
          <w:color w:val="000000" w:themeColor="text1"/>
        </w:rPr>
      </w:pPr>
      <w:r w:rsidRPr="003F1B17">
        <w:rPr>
          <w:rFonts w:asciiTheme="minorHAnsi" w:hAnsiTheme="minorHAnsi" w:cstheme="minorHAnsi"/>
          <w:color w:val="000000" w:themeColor="text1"/>
        </w:rPr>
        <w:t>L</w:t>
      </w:r>
      <w:r w:rsidR="00C21C0C">
        <w:rPr>
          <w:rFonts w:asciiTheme="minorHAnsi" w:hAnsiTheme="minorHAnsi" w:cstheme="minorHAnsi"/>
          <w:color w:val="000000" w:themeColor="text1"/>
        </w:rPr>
        <w:t>es actions concurrenti</w:t>
      </w:r>
      <w:r w:rsidRPr="003F1B17">
        <w:rPr>
          <w:rFonts w:asciiTheme="minorHAnsi" w:hAnsiTheme="minorHAnsi" w:cstheme="minorHAnsi"/>
          <w:color w:val="000000" w:themeColor="text1"/>
        </w:rPr>
        <w:t>e</w:t>
      </w:r>
      <w:r w:rsidR="00C21C0C">
        <w:rPr>
          <w:rFonts w:asciiTheme="minorHAnsi" w:hAnsiTheme="minorHAnsi" w:cstheme="minorHAnsi"/>
          <w:color w:val="000000" w:themeColor="text1"/>
        </w:rPr>
        <w:t>lles</w:t>
      </w:r>
      <w:r w:rsidRPr="003F1B17">
        <w:rPr>
          <w:rFonts w:asciiTheme="minorHAnsi" w:hAnsiTheme="minorHAnsi" w:cstheme="minorHAnsi"/>
          <w:color w:val="000000" w:themeColor="text1"/>
        </w:rPr>
        <w:t> ;</w:t>
      </w:r>
    </w:p>
    <w:p w14:paraId="2DC1323B" w14:textId="77777777" w:rsidR="00644DE9" w:rsidRPr="003F1B17" w:rsidRDefault="00644DE9" w:rsidP="00644DE9">
      <w:pPr>
        <w:pStyle w:val="Paragraphedeliste"/>
        <w:numPr>
          <w:ilvl w:val="0"/>
          <w:numId w:val="1"/>
        </w:numPr>
        <w:spacing w:line="259" w:lineRule="auto"/>
        <w:rPr>
          <w:rFonts w:asciiTheme="minorHAnsi" w:hAnsiTheme="minorHAnsi" w:cstheme="minorHAnsi"/>
          <w:color w:val="000000" w:themeColor="text1"/>
        </w:rPr>
      </w:pPr>
      <w:r w:rsidRPr="003F1B17">
        <w:rPr>
          <w:rFonts w:asciiTheme="minorHAnsi" w:hAnsiTheme="minorHAnsi" w:cstheme="minorHAnsi"/>
          <w:color w:val="000000" w:themeColor="text1"/>
        </w:rPr>
        <w:t>Le niveau des dépenses de maintenance à effectuer ;</w:t>
      </w:r>
    </w:p>
    <w:p w14:paraId="67B0CA09" w14:textId="77777777" w:rsidR="00644DE9" w:rsidRPr="003F1B17" w:rsidRDefault="00644DE9" w:rsidP="00644DE9">
      <w:pPr>
        <w:pStyle w:val="Paragraphedeliste"/>
        <w:numPr>
          <w:ilvl w:val="0"/>
          <w:numId w:val="1"/>
        </w:numPr>
        <w:spacing w:line="259" w:lineRule="auto"/>
        <w:rPr>
          <w:rFonts w:asciiTheme="minorHAnsi" w:hAnsiTheme="minorHAnsi" w:cstheme="minorHAnsi"/>
          <w:color w:val="000000" w:themeColor="text1"/>
        </w:rPr>
      </w:pPr>
      <w:r w:rsidRPr="003F1B17">
        <w:rPr>
          <w:rFonts w:asciiTheme="minorHAnsi" w:hAnsiTheme="minorHAnsi" w:cstheme="minorHAnsi"/>
          <w:color w:val="000000" w:themeColor="text1"/>
        </w:rPr>
        <w:t>La durée d’utilisation dépendante ou non de la durée d’utilisation d’autres actifs.</w:t>
      </w:r>
    </w:p>
    <w:p w14:paraId="0443BBDA" w14:textId="77777777" w:rsidR="00644DE9" w:rsidRPr="003F1B17" w:rsidRDefault="00644DE9" w:rsidP="00644DE9">
      <w:pPr>
        <w:pStyle w:val="Paragraphedeliste"/>
        <w:spacing w:line="259" w:lineRule="auto"/>
        <w:rPr>
          <w:rFonts w:asciiTheme="minorHAnsi" w:hAnsiTheme="minorHAnsi" w:cstheme="minorHAnsi"/>
          <w:color w:val="000000" w:themeColor="text1"/>
          <w:highlight w:val="yellow"/>
        </w:rPr>
      </w:pPr>
    </w:p>
    <w:p w14:paraId="57647929" w14:textId="77777777" w:rsidR="004362B4" w:rsidRDefault="004362B4" w:rsidP="00644DE9">
      <w:pPr>
        <w:spacing w:after="160" w:line="259" w:lineRule="auto"/>
        <w:jc w:val="both"/>
        <w:rPr>
          <w:rFonts w:asciiTheme="minorHAnsi" w:hAnsiTheme="minorHAnsi" w:cstheme="minorHAnsi"/>
          <w:color w:val="000000" w:themeColor="text1"/>
        </w:rPr>
      </w:pPr>
    </w:p>
    <w:p w14:paraId="358A41FC" w14:textId="78C92384"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La </w:t>
      </w:r>
      <w:r w:rsidRPr="003F1B17">
        <w:rPr>
          <w:rFonts w:asciiTheme="minorHAnsi" w:hAnsiTheme="minorHAnsi" w:cstheme="minorHAnsi"/>
          <w:b/>
          <w:color w:val="000000" w:themeColor="text1"/>
        </w:rPr>
        <w:t>durée d’utilisation d’un actif immobilisé</w:t>
      </w:r>
      <w:r w:rsidRPr="003F1B17">
        <w:rPr>
          <w:rFonts w:asciiTheme="minorHAnsi" w:hAnsiTheme="minorHAnsi" w:cstheme="minorHAnsi"/>
          <w:color w:val="000000" w:themeColor="text1"/>
        </w:rPr>
        <w:t xml:space="preserve">, qu’elle soit limitée ou non, </w:t>
      </w:r>
      <w:r w:rsidRPr="003F1B17">
        <w:rPr>
          <w:rFonts w:asciiTheme="minorHAnsi" w:hAnsiTheme="minorHAnsi" w:cstheme="minorHAnsi"/>
          <w:b/>
          <w:color w:val="000000" w:themeColor="text1"/>
        </w:rPr>
        <w:t>doit être documentée</w:t>
      </w:r>
      <w:r w:rsidRPr="003F1B17">
        <w:rPr>
          <w:rFonts w:asciiTheme="minorHAnsi" w:hAnsiTheme="minorHAnsi" w:cstheme="minorHAnsi"/>
          <w:color w:val="000000" w:themeColor="text1"/>
        </w:rPr>
        <w:t xml:space="preserve">. </w:t>
      </w:r>
    </w:p>
    <w:p w14:paraId="14122556" w14:textId="77777777"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A l’exception du fonds commercial, aucun autre actif incorporel ne dispose d’une présomption de durée d’utilisation. </w:t>
      </w:r>
    </w:p>
    <w:p w14:paraId="172EFDFB" w14:textId="77777777"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Les actifs immobilisés dont la durée d’utilisation est limitée sont amortis sur la durée d’utilisation selon un plan d’amortissement. Ceux dont la durée d’utilisation n’est pas limitée, ne sont pas amortis.  Dans les deux cas, en cas d’indice de perte de valeur</w:t>
      </w:r>
      <w:r w:rsidRPr="003F1B17">
        <w:rPr>
          <w:rStyle w:val="Appelnotedebasdep"/>
          <w:rFonts w:asciiTheme="minorHAnsi" w:hAnsiTheme="minorHAnsi" w:cstheme="minorHAnsi"/>
          <w:color w:val="000000" w:themeColor="text1"/>
        </w:rPr>
        <w:footnoteReference w:id="1"/>
      </w:r>
      <w:r w:rsidRPr="003F1B17">
        <w:rPr>
          <w:rFonts w:asciiTheme="minorHAnsi" w:hAnsiTheme="minorHAnsi" w:cstheme="minorHAnsi"/>
          <w:color w:val="000000" w:themeColor="text1"/>
        </w:rPr>
        <w:t xml:space="preserve">, un test de dépréciation est effectué à la clôture des comptes </w:t>
      </w:r>
      <w:r w:rsidRPr="003F1B17">
        <w:rPr>
          <w:rFonts w:asciiTheme="minorHAnsi" w:hAnsiTheme="minorHAnsi" w:cstheme="minorHAnsi"/>
          <w:iCs/>
          <w:color w:val="000000" w:themeColor="text1"/>
        </w:rPr>
        <w:t>(article 214-15 du PCG)</w:t>
      </w:r>
      <w:r w:rsidRPr="003F1B17">
        <w:rPr>
          <w:rFonts w:asciiTheme="minorHAnsi" w:hAnsiTheme="minorHAnsi" w:cstheme="minorHAnsi"/>
          <w:color w:val="000000" w:themeColor="text1"/>
        </w:rPr>
        <w:t>.</w:t>
      </w:r>
      <w:r w:rsidRPr="003F1B17">
        <w:rPr>
          <w:rFonts w:asciiTheme="minorHAnsi" w:hAnsiTheme="minorHAnsi" w:cstheme="minorHAnsi"/>
          <w:color w:val="000000"/>
        </w:rPr>
        <w:t xml:space="preserve"> </w:t>
      </w:r>
      <w:r w:rsidRPr="003F1B17">
        <w:rPr>
          <w:rFonts w:asciiTheme="minorHAnsi" w:hAnsiTheme="minorHAnsi" w:cstheme="minorHAnsi"/>
          <w:color w:val="000000" w:themeColor="text1"/>
        </w:rPr>
        <w:t xml:space="preserve">La valeur nette comptable de l’actif est alors comparée à sa valeur actuelle. </w:t>
      </w:r>
    </w:p>
    <w:p w14:paraId="66F8A349" w14:textId="5132EF2A" w:rsidR="00644DE9" w:rsidRPr="003F1B17" w:rsidRDefault="00644DE9" w:rsidP="00C21C0C">
      <w:pP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La valeur actuelle est la valeur la plus élevée entre la valeur vénale ou la valeur d’usage. </w:t>
      </w:r>
    </w:p>
    <w:p w14:paraId="6B9D1390" w14:textId="77777777" w:rsidR="00644DE9" w:rsidRPr="003F1B17" w:rsidRDefault="00644DE9" w:rsidP="00644DE9">
      <w:p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La note de présentation du règlement ANC n°2015-06 apporte des précisions pour appréhender la valeur vénale. Il s’agit essentiellement d’une </w:t>
      </w:r>
      <w:r w:rsidRPr="003F1B17">
        <w:rPr>
          <w:rFonts w:asciiTheme="minorHAnsi" w:hAnsiTheme="minorHAnsi" w:cstheme="minorHAnsi"/>
          <w:b/>
          <w:color w:val="000000" w:themeColor="text1"/>
        </w:rPr>
        <w:t>hiérarchie de critères</w:t>
      </w:r>
      <w:r w:rsidRPr="003F1B17">
        <w:rPr>
          <w:rFonts w:asciiTheme="minorHAnsi" w:hAnsiTheme="minorHAnsi" w:cstheme="minorHAnsi"/>
          <w:color w:val="000000" w:themeColor="text1"/>
        </w:rPr>
        <w:t xml:space="preserve"> présentés ci-dessous : </w:t>
      </w:r>
    </w:p>
    <w:p w14:paraId="040478AC" w14:textId="77777777" w:rsidR="00644DE9" w:rsidRPr="003F1B17" w:rsidRDefault="00644DE9" w:rsidP="00644DE9">
      <w:pPr>
        <w:pStyle w:val="Paragraphedeliste"/>
        <w:numPr>
          <w:ilvl w:val="0"/>
          <w:numId w:val="2"/>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Le prix figurant dans un accord de vente irrévocable signé à l’occasion d’une transaction dans des conditions de concurrence normale ou résultant d’un actif d’un marché actif, prix duquel sont déduits les coûts de sortie ; </w:t>
      </w:r>
    </w:p>
    <w:p w14:paraId="3A960D9D" w14:textId="77777777" w:rsidR="00644DE9" w:rsidRPr="003F1B17" w:rsidRDefault="00644DE9" w:rsidP="00644DE9">
      <w:pPr>
        <w:pStyle w:val="Paragraphedeliste"/>
        <w:numPr>
          <w:ilvl w:val="0"/>
          <w:numId w:val="2"/>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Le prix résultant d’un marché actif ; </w:t>
      </w:r>
    </w:p>
    <w:p w14:paraId="2995238B" w14:textId="77777777" w:rsidR="00644DE9" w:rsidRPr="003F1B17" w:rsidRDefault="00644DE9" w:rsidP="00644DE9">
      <w:pPr>
        <w:pStyle w:val="Paragraphedeliste"/>
        <w:numPr>
          <w:ilvl w:val="0"/>
          <w:numId w:val="2"/>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A défaut, le prix résultant de transactions récentes pour un actif similaire dans le même secteur d’activité. </w:t>
      </w:r>
    </w:p>
    <w:p w14:paraId="5981475D" w14:textId="77777777" w:rsidR="00644DE9" w:rsidRPr="003F1B17" w:rsidRDefault="00644DE9" w:rsidP="00644DE9">
      <w:pPr>
        <w:pStyle w:val="Paragraphedeliste"/>
        <w:spacing w:line="259" w:lineRule="auto"/>
        <w:jc w:val="both"/>
        <w:rPr>
          <w:rFonts w:asciiTheme="minorHAnsi" w:hAnsiTheme="minorHAnsi" w:cstheme="minorHAnsi"/>
          <w:color w:val="000000" w:themeColor="text1"/>
        </w:rPr>
      </w:pPr>
    </w:p>
    <w:p w14:paraId="4F9B99A5" w14:textId="77777777" w:rsidR="00644DE9" w:rsidRPr="003F1B17" w:rsidRDefault="00644DE9" w:rsidP="00644DE9">
      <w:pPr>
        <w:spacing w:line="259" w:lineRule="auto"/>
        <w:jc w:val="both"/>
        <w:rPr>
          <w:rFonts w:asciiTheme="minorHAnsi" w:hAnsiTheme="minorHAnsi" w:cstheme="minorHAnsi"/>
          <w:b/>
          <w:color w:val="000000" w:themeColor="text1"/>
        </w:rPr>
      </w:pPr>
      <w:r w:rsidRPr="003F1B17">
        <w:rPr>
          <w:rFonts w:asciiTheme="minorHAnsi" w:hAnsiTheme="minorHAnsi" w:cstheme="minorHAnsi"/>
          <w:color w:val="000000" w:themeColor="text1"/>
        </w:rPr>
        <w:t xml:space="preserve">La </w:t>
      </w:r>
      <w:r w:rsidRPr="003F1B17">
        <w:rPr>
          <w:rFonts w:asciiTheme="minorHAnsi" w:hAnsiTheme="minorHAnsi" w:cstheme="minorHAnsi"/>
          <w:b/>
          <w:color w:val="000000" w:themeColor="text1"/>
        </w:rPr>
        <w:t>valeur d'usage d'un actif</w:t>
      </w:r>
      <w:r w:rsidRPr="003F1B17">
        <w:rPr>
          <w:rFonts w:asciiTheme="minorHAnsi" w:hAnsiTheme="minorHAnsi" w:cstheme="minorHAnsi"/>
          <w:color w:val="000000" w:themeColor="text1"/>
        </w:rPr>
        <w:t xml:space="preserve"> est la valeur des avantages économiques futurs attendus de son utilisation et de sa sortie. Celle-ci peut-être </w:t>
      </w:r>
      <w:r w:rsidRPr="003F1B17">
        <w:rPr>
          <w:rFonts w:asciiTheme="minorHAnsi" w:hAnsiTheme="minorHAnsi" w:cstheme="minorHAnsi"/>
          <w:b/>
          <w:color w:val="000000" w:themeColor="text1"/>
        </w:rPr>
        <w:t>basée sur des projections de flux de trésorerie</w:t>
      </w:r>
      <w:r w:rsidRPr="003F1B17">
        <w:rPr>
          <w:rFonts w:asciiTheme="minorHAnsi" w:hAnsiTheme="minorHAnsi" w:cstheme="minorHAnsi"/>
          <w:color w:val="000000" w:themeColor="text1"/>
        </w:rPr>
        <w:t xml:space="preserve">. La note de présentation précise les modalités de prise en compte de ces flux. Ils sont généralement </w:t>
      </w:r>
      <w:r w:rsidRPr="003F1B17">
        <w:rPr>
          <w:rFonts w:asciiTheme="minorHAnsi" w:hAnsiTheme="minorHAnsi" w:cstheme="minorHAnsi"/>
          <w:b/>
          <w:color w:val="000000" w:themeColor="text1"/>
        </w:rPr>
        <w:t xml:space="preserve">basés sur 3 périodes : </w:t>
      </w:r>
    </w:p>
    <w:p w14:paraId="1F622722"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Une période couverte par des documents prévisionnels pluriannuels : les hypothèses de croissance et de marges retenues sont documentées. La période ne peut être supérieure à 5 ans sauf si l’entité peut démontrer sa capacité à établir des prévisions fiables au-delà. Les projections sont déterminées sur la base de l’actif dans son état actuel, à savoir hors opérations de restructurations, de croissance externe.  </w:t>
      </w:r>
    </w:p>
    <w:p w14:paraId="1384152D"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Une période couverte par des flux extrapolés en appliquant un taux de croissance stable ou décroissant en fonction des perspectives économiques. </w:t>
      </w:r>
    </w:p>
    <w:p w14:paraId="4D2D204F" w14:textId="70558C9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Et le cas échéant, une estimation d’une valeur de sortie représentative des flux extrapolés à l’infini ou sur une période déterminée à l’issue de laquelle est envisagée et prise en compte</w:t>
      </w:r>
      <w:r w:rsidR="00BC0025">
        <w:rPr>
          <w:rFonts w:asciiTheme="minorHAnsi" w:hAnsiTheme="minorHAnsi" w:cstheme="minorHAnsi"/>
          <w:color w:val="000000" w:themeColor="text1"/>
        </w:rPr>
        <w:t>,</w:t>
      </w:r>
      <w:r w:rsidRPr="003F1B17">
        <w:rPr>
          <w:rFonts w:asciiTheme="minorHAnsi" w:hAnsiTheme="minorHAnsi" w:cstheme="minorHAnsi"/>
          <w:color w:val="000000" w:themeColor="text1"/>
        </w:rPr>
        <w:t xml:space="preserve"> une sortie de l’actif nette des coûts de sortie.</w:t>
      </w:r>
    </w:p>
    <w:p w14:paraId="573D630B" w14:textId="77B9B6B6" w:rsidR="00644DE9" w:rsidRDefault="00644DE9" w:rsidP="00644DE9">
      <w:pPr>
        <w:spacing w:line="259" w:lineRule="auto"/>
        <w:ind w:left="360"/>
        <w:jc w:val="both"/>
        <w:rPr>
          <w:rFonts w:asciiTheme="minorHAnsi" w:hAnsiTheme="minorHAnsi" w:cstheme="minorHAnsi"/>
          <w:color w:val="000000" w:themeColor="text1"/>
        </w:rPr>
      </w:pPr>
      <w:r w:rsidRPr="003F1B17">
        <w:rPr>
          <w:rFonts w:asciiTheme="minorHAnsi" w:hAnsiTheme="minorHAnsi" w:cstheme="minorHAnsi"/>
          <w:color w:val="000000" w:themeColor="text1"/>
        </w:rPr>
        <w:t>Le taux d’actualisation est un taux reflétant la valeur en temps de l’argent et les risques spécifiques à l’actif dans la perspective de l’utilisation de l’actif par l’entité. Il ne reflète pas les risques et avantages déjà pris en compte dans les estimations de flux de trésorerie. Le</w:t>
      </w:r>
      <w:r w:rsidR="00FA102C" w:rsidRPr="003F1B17">
        <w:rPr>
          <w:rFonts w:asciiTheme="minorHAnsi" w:hAnsiTheme="minorHAnsi" w:cstheme="minorHAnsi"/>
          <w:color w:val="000000" w:themeColor="text1"/>
        </w:rPr>
        <w:t xml:space="preserve"> WACC (W</w:t>
      </w:r>
      <w:r w:rsidRPr="003F1B17">
        <w:rPr>
          <w:rFonts w:asciiTheme="minorHAnsi" w:hAnsiTheme="minorHAnsi" w:cstheme="minorHAnsi"/>
          <w:color w:val="000000" w:themeColor="text1"/>
        </w:rPr>
        <w:t xml:space="preserve">eighted Average Cost of Capital) </w:t>
      </w:r>
      <w:r w:rsidR="00FA102C" w:rsidRPr="003F1B17">
        <w:rPr>
          <w:rFonts w:asciiTheme="minorHAnsi" w:hAnsiTheme="minorHAnsi" w:cstheme="minorHAnsi"/>
          <w:color w:val="000000" w:themeColor="text1"/>
        </w:rPr>
        <w:t xml:space="preserve">ou coût moyen pondéré du capital </w:t>
      </w:r>
      <w:r w:rsidRPr="003F1B17">
        <w:rPr>
          <w:rFonts w:asciiTheme="minorHAnsi" w:hAnsiTheme="minorHAnsi" w:cstheme="minorHAnsi"/>
          <w:color w:val="000000" w:themeColor="text1"/>
        </w:rPr>
        <w:t xml:space="preserve">est généralement utilisé. </w:t>
      </w:r>
    </w:p>
    <w:p w14:paraId="2AA35423" w14:textId="49F94EE8" w:rsidR="004362B4" w:rsidRDefault="004362B4">
      <w:pPr>
        <w:spacing w:after="160" w:line="259" w:lineRule="auto"/>
        <w:rPr>
          <w:rFonts w:asciiTheme="minorHAnsi" w:hAnsiTheme="minorHAnsi" w:cstheme="minorHAnsi"/>
          <w:color w:val="000000" w:themeColor="text1"/>
        </w:rPr>
      </w:pPr>
      <w:r>
        <w:rPr>
          <w:rFonts w:asciiTheme="minorHAnsi" w:hAnsiTheme="minorHAnsi" w:cstheme="minorHAnsi"/>
          <w:color w:val="000000" w:themeColor="text1"/>
        </w:rPr>
        <w:br w:type="page"/>
      </w:r>
    </w:p>
    <w:p w14:paraId="7C54FE9B" w14:textId="77777777" w:rsidR="00ED489C" w:rsidRDefault="00ED489C">
      <w:pPr>
        <w:spacing w:after="160" w:line="259" w:lineRule="auto"/>
        <w:rPr>
          <w:rFonts w:asciiTheme="minorHAnsi" w:hAnsiTheme="minorHAnsi" w:cstheme="minorHAnsi"/>
          <w:color w:val="000000" w:themeColor="text1"/>
        </w:rPr>
      </w:pPr>
    </w:p>
    <w:p w14:paraId="522EAC7F" w14:textId="5F1CE178" w:rsidR="002C50E0" w:rsidRDefault="002C50E0" w:rsidP="002C50E0">
      <w:pPr>
        <w:pBdr>
          <w:top w:val="single" w:sz="4" w:space="1" w:color="auto"/>
          <w:left w:val="single" w:sz="4" w:space="4" w:color="auto"/>
          <w:bottom w:val="single" w:sz="4" w:space="1" w:color="auto"/>
          <w:right w:val="single" w:sz="4" w:space="4" w:color="auto"/>
        </w:pBdr>
        <w:jc w:val="both"/>
        <w:rPr>
          <w:rFonts w:asciiTheme="minorHAnsi" w:hAnsiTheme="minorHAnsi" w:cstheme="minorHAnsi"/>
          <w:b/>
          <w:i/>
          <w:color w:val="000000" w:themeColor="text1"/>
          <w:u w:val="single"/>
        </w:rPr>
      </w:pPr>
      <w:r>
        <w:rPr>
          <w:rFonts w:asciiTheme="minorHAnsi" w:hAnsiTheme="minorHAnsi" w:cstheme="minorHAnsi"/>
          <w:b/>
          <w:i/>
          <w:color w:val="000000" w:themeColor="text1"/>
          <w:u w:val="single"/>
        </w:rPr>
        <w:t>Exemple :</w:t>
      </w:r>
    </w:p>
    <w:p w14:paraId="2500E360" w14:textId="77777777" w:rsidR="002C50E0" w:rsidRDefault="002C50E0" w:rsidP="002C50E0">
      <w:pPr>
        <w:pBdr>
          <w:top w:val="single" w:sz="4" w:space="1" w:color="auto"/>
          <w:left w:val="single" w:sz="4" w:space="4" w:color="auto"/>
          <w:bottom w:val="single" w:sz="4" w:space="1" w:color="auto"/>
          <w:right w:val="single" w:sz="4" w:space="4" w:color="auto"/>
        </w:pBdr>
        <w:jc w:val="both"/>
        <w:rPr>
          <w:rFonts w:asciiTheme="minorHAnsi" w:hAnsiTheme="minorHAnsi" w:cstheme="minorHAnsi"/>
          <w:b/>
          <w:i/>
          <w:color w:val="000000" w:themeColor="text1"/>
          <w:u w:val="single"/>
        </w:rPr>
      </w:pPr>
    </w:p>
    <w:p w14:paraId="0B2400FA" w14:textId="6F455730" w:rsidR="002C50E0" w:rsidRPr="002C50E0" w:rsidRDefault="002C50E0" w:rsidP="002C50E0">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2C50E0">
        <w:rPr>
          <w:rFonts w:asciiTheme="minorHAnsi" w:hAnsiTheme="minorHAnsi" w:cstheme="minorHAnsi"/>
        </w:rPr>
        <w:t xml:space="preserve">Une société doit calculer la valeur d’usage d’un actif. Elle établit des prévisions budgétaires à un horizon de 3 ans (en vert). Le taux d’actualisation retenu est de 4% (appliqué en fin d’exercice). </w:t>
      </w:r>
    </w:p>
    <w:p w14:paraId="679663C2" w14:textId="77777777" w:rsidR="002C50E0" w:rsidRDefault="002C50E0" w:rsidP="002C50E0">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p>
    <w:p w14:paraId="7F463B4D" w14:textId="071FBCB0" w:rsidR="002C50E0" w:rsidRPr="002C50E0" w:rsidRDefault="002C50E0" w:rsidP="002C50E0">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2C50E0">
        <w:rPr>
          <w:rFonts w:asciiTheme="minorHAnsi" w:hAnsiTheme="minorHAnsi" w:cstheme="minorHAnsi"/>
        </w:rPr>
        <w:t xml:space="preserve">La durée de l’actif étant supérieure à la prévision budgétaire, les flux futurs sont extrapolés sur une période de 5 ans (en jaune) avec comme hypothèses, un taux de croissance du chiffre d’affaires de 2% dont 1% en volume et un taux d’inflation de 1%. Les dotations aux amortissements sont stables. </w:t>
      </w:r>
    </w:p>
    <w:p w14:paraId="24AAE643" w14:textId="77777777" w:rsidR="002C50E0" w:rsidRDefault="002C50E0" w:rsidP="002C50E0">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p>
    <w:p w14:paraId="445DF9ED" w14:textId="1F4B3E8A" w:rsidR="002C50E0" w:rsidRPr="002C50E0" w:rsidRDefault="002C50E0" w:rsidP="002C50E0">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2C50E0">
        <w:rPr>
          <w:rFonts w:asciiTheme="minorHAnsi" w:hAnsiTheme="minorHAnsi" w:cstheme="minorHAnsi"/>
        </w:rPr>
        <w:t xml:space="preserve">La valeur de sortie de l’actif non actualisée (en bleu) est déterminée sur la base d’un multiple de 10 du dernier résultat. Les coûts de sortie sont estimés à 20% de la valeur de sortie actualisée. </w:t>
      </w:r>
    </w:p>
    <w:p w14:paraId="6449C3CD" w14:textId="77777777" w:rsidR="002C50E0" w:rsidRDefault="002C50E0" w:rsidP="002C50E0">
      <w:pPr>
        <w:pBdr>
          <w:top w:val="single" w:sz="4" w:space="1" w:color="auto"/>
          <w:left w:val="single" w:sz="4" w:space="4" w:color="auto"/>
          <w:bottom w:val="single" w:sz="4" w:space="1" w:color="auto"/>
          <w:right w:val="single" w:sz="4" w:space="4" w:color="auto"/>
        </w:pBdr>
        <w:jc w:val="both"/>
      </w:pPr>
    </w:p>
    <w:bookmarkStart w:id="6" w:name="_MON_1545478420"/>
    <w:bookmarkEnd w:id="6"/>
    <w:p w14:paraId="7CE96CFB" w14:textId="072E66E1" w:rsidR="002C50E0" w:rsidRDefault="002C50E0" w:rsidP="002C50E0">
      <w:pPr>
        <w:pBdr>
          <w:top w:val="single" w:sz="4" w:space="1" w:color="auto"/>
          <w:left w:val="single" w:sz="4" w:space="4" w:color="auto"/>
          <w:bottom w:val="single" w:sz="4" w:space="1" w:color="auto"/>
          <w:right w:val="single" w:sz="4" w:space="4" w:color="auto"/>
        </w:pBdr>
        <w:spacing w:after="160"/>
      </w:pPr>
      <w:r>
        <w:object w:dxaOrig="8518" w:dyaOrig="5579" w14:anchorId="54DF0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221.7pt" o:ole="">
            <v:imagedata r:id="rId12" o:title=""/>
          </v:shape>
          <o:OLEObject Type="Embed" ProgID="Excel.Sheet.12" ShapeID="_x0000_i1025" DrawAspect="Content" ObjectID="_1545580671" r:id="rId13"/>
        </w:object>
      </w:r>
    </w:p>
    <w:p w14:paraId="72C02394" w14:textId="77777777" w:rsidR="002C50E0" w:rsidRDefault="002C50E0" w:rsidP="002C50E0">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p>
    <w:p w14:paraId="2206CD66" w14:textId="2945B868" w:rsidR="002C50E0" w:rsidRPr="002C50E0" w:rsidRDefault="002C50E0" w:rsidP="002C50E0">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2C50E0">
        <w:rPr>
          <w:rFonts w:asciiTheme="minorHAnsi" w:hAnsiTheme="minorHAnsi" w:cstheme="minorHAnsi"/>
        </w:rPr>
        <w:t xml:space="preserve">Il ressort des calculs ci-dessous, une valeur d’usage estimée ressort à </w:t>
      </w:r>
      <w:r w:rsidRPr="002C50E0">
        <w:rPr>
          <w:rFonts w:asciiTheme="minorHAnsi" w:hAnsiTheme="minorHAnsi" w:cstheme="minorHAnsi"/>
          <w:b/>
        </w:rPr>
        <w:t>2 794</w:t>
      </w:r>
      <w:r w:rsidRPr="002C50E0">
        <w:rPr>
          <w:rFonts w:asciiTheme="minorHAnsi" w:hAnsiTheme="minorHAnsi" w:cstheme="minorHAnsi"/>
        </w:rPr>
        <w:t>, qui se décompose comme suit :</w:t>
      </w:r>
    </w:p>
    <w:p w14:paraId="12D1FF53" w14:textId="4287A3F8" w:rsidR="006840B2" w:rsidRPr="002C50E0" w:rsidRDefault="006840B2" w:rsidP="002C50E0">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2C50E0">
        <w:rPr>
          <w:rFonts w:asciiTheme="minorHAnsi" w:hAnsiTheme="minorHAnsi" w:cstheme="minorHAnsi"/>
        </w:rPr>
        <w:t>Flux de trésorerie estimés pendant la période budgétaire (vert)</w:t>
      </w:r>
      <w:r w:rsidRPr="002C50E0">
        <w:rPr>
          <w:rFonts w:asciiTheme="minorHAnsi" w:hAnsiTheme="minorHAnsi" w:cstheme="minorHAnsi"/>
        </w:rPr>
        <w:tab/>
      </w:r>
      <w:r w:rsidRPr="002C50E0">
        <w:rPr>
          <w:rFonts w:asciiTheme="minorHAnsi" w:hAnsiTheme="minorHAnsi" w:cstheme="minorHAnsi"/>
        </w:rPr>
        <w:tab/>
      </w:r>
      <w:r w:rsidRPr="002C50E0">
        <w:rPr>
          <w:rFonts w:asciiTheme="minorHAnsi" w:hAnsiTheme="minorHAnsi" w:cstheme="minorHAnsi"/>
        </w:rPr>
        <w:tab/>
      </w:r>
      <w:r w:rsidRPr="002C50E0">
        <w:rPr>
          <w:rFonts w:asciiTheme="minorHAnsi" w:hAnsiTheme="minorHAnsi" w:cstheme="minorHAnsi"/>
        </w:rPr>
        <w:tab/>
        <w:t xml:space="preserve">+ </w:t>
      </w:r>
      <w:r w:rsidR="002C50E0" w:rsidRPr="002C50E0">
        <w:rPr>
          <w:rFonts w:asciiTheme="minorHAnsi" w:hAnsiTheme="minorHAnsi" w:cstheme="minorHAnsi"/>
        </w:rPr>
        <w:t xml:space="preserve">   816</w:t>
      </w:r>
    </w:p>
    <w:p w14:paraId="24490085" w14:textId="24AAD30A" w:rsidR="006840B2" w:rsidRPr="002C50E0" w:rsidRDefault="006840B2" w:rsidP="002C50E0">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2C50E0">
        <w:rPr>
          <w:rFonts w:asciiTheme="minorHAnsi" w:hAnsiTheme="minorHAnsi" w:cstheme="minorHAnsi"/>
        </w:rPr>
        <w:t xml:space="preserve">+ Flux de trésorerie estimés pendant la période d’extrapolation (jaune) </w:t>
      </w:r>
      <w:r w:rsidRPr="002C50E0">
        <w:rPr>
          <w:rFonts w:asciiTheme="minorHAnsi" w:hAnsiTheme="minorHAnsi" w:cstheme="minorHAnsi"/>
        </w:rPr>
        <w:tab/>
      </w:r>
      <w:r w:rsidRPr="002C50E0">
        <w:rPr>
          <w:rFonts w:asciiTheme="minorHAnsi" w:hAnsiTheme="minorHAnsi" w:cstheme="minorHAnsi"/>
        </w:rPr>
        <w:tab/>
        <w:t xml:space="preserve">+ </w:t>
      </w:r>
      <w:r w:rsidR="002C50E0" w:rsidRPr="002C50E0">
        <w:rPr>
          <w:rFonts w:asciiTheme="minorHAnsi" w:hAnsiTheme="minorHAnsi" w:cstheme="minorHAnsi"/>
        </w:rPr>
        <w:t>1</w:t>
      </w:r>
      <w:r w:rsidRPr="002C50E0">
        <w:rPr>
          <w:rFonts w:asciiTheme="minorHAnsi" w:hAnsiTheme="minorHAnsi" w:cstheme="minorHAnsi"/>
        </w:rPr>
        <w:t> </w:t>
      </w:r>
      <w:r w:rsidR="002C50E0" w:rsidRPr="002C50E0">
        <w:rPr>
          <w:rFonts w:asciiTheme="minorHAnsi" w:hAnsiTheme="minorHAnsi" w:cstheme="minorHAnsi"/>
        </w:rPr>
        <w:t>221</w:t>
      </w:r>
    </w:p>
    <w:p w14:paraId="4428D24E" w14:textId="18D3F39A" w:rsidR="006840B2" w:rsidRPr="002C50E0" w:rsidRDefault="006840B2" w:rsidP="002C50E0">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2C50E0">
        <w:rPr>
          <w:rFonts w:asciiTheme="minorHAnsi" w:hAnsiTheme="minorHAnsi" w:cstheme="minorHAnsi"/>
        </w:rPr>
        <w:t xml:space="preserve">+ </w:t>
      </w:r>
      <w:r w:rsidR="002C50E0" w:rsidRPr="002C50E0">
        <w:rPr>
          <w:rFonts w:asciiTheme="minorHAnsi" w:hAnsiTheme="minorHAnsi" w:cstheme="minorHAnsi"/>
        </w:rPr>
        <w:t>Valeur de sortie actualisée</w:t>
      </w:r>
      <w:r w:rsidR="002C50E0" w:rsidRPr="002C50E0">
        <w:rPr>
          <w:rFonts w:asciiTheme="minorHAnsi" w:hAnsiTheme="minorHAnsi" w:cstheme="minorHAnsi"/>
        </w:rPr>
        <w:tab/>
      </w:r>
      <w:r w:rsidR="002C50E0" w:rsidRPr="002C50E0">
        <w:rPr>
          <w:rFonts w:asciiTheme="minorHAnsi" w:hAnsiTheme="minorHAnsi" w:cstheme="minorHAnsi"/>
        </w:rPr>
        <w:tab/>
      </w:r>
      <w:r w:rsidR="002C50E0" w:rsidRPr="002C50E0">
        <w:rPr>
          <w:rFonts w:asciiTheme="minorHAnsi" w:hAnsiTheme="minorHAnsi" w:cstheme="minorHAnsi"/>
        </w:rPr>
        <w:tab/>
      </w:r>
      <w:r w:rsidR="002C50E0" w:rsidRPr="002C50E0">
        <w:rPr>
          <w:rFonts w:asciiTheme="minorHAnsi" w:hAnsiTheme="minorHAnsi" w:cstheme="minorHAnsi"/>
        </w:rPr>
        <w:tab/>
      </w:r>
      <w:r w:rsidR="002C50E0" w:rsidRPr="002C50E0">
        <w:rPr>
          <w:rFonts w:asciiTheme="minorHAnsi" w:hAnsiTheme="minorHAnsi" w:cstheme="minorHAnsi"/>
        </w:rPr>
        <w:tab/>
      </w:r>
      <w:r w:rsidR="002C50E0" w:rsidRPr="002C50E0">
        <w:rPr>
          <w:rFonts w:asciiTheme="minorHAnsi" w:hAnsiTheme="minorHAnsi" w:cstheme="minorHAnsi"/>
        </w:rPr>
        <w:tab/>
      </w:r>
      <w:r w:rsidR="002C50E0" w:rsidRPr="002C50E0">
        <w:rPr>
          <w:rFonts w:asciiTheme="minorHAnsi" w:hAnsiTheme="minorHAnsi" w:cstheme="minorHAnsi"/>
        </w:rPr>
        <w:tab/>
      </w:r>
      <w:r w:rsidR="002C50E0" w:rsidRPr="002C50E0">
        <w:rPr>
          <w:rFonts w:asciiTheme="minorHAnsi" w:hAnsiTheme="minorHAnsi" w:cstheme="minorHAnsi"/>
        </w:rPr>
        <w:tab/>
        <w:t xml:space="preserve">+   </w:t>
      </w:r>
      <w:r w:rsidRPr="002C50E0">
        <w:rPr>
          <w:rFonts w:asciiTheme="minorHAnsi" w:hAnsiTheme="minorHAnsi" w:cstheme="minorHAnsi"/>
        </w:rPr>
        <w:t> </w:t>
      </w:r>
      <w:r w:rsidR="002C50E0" w:rsidRPr="002C50E0">
        <w:rPr>
          <w:rFonts w:asciiTheme="minorHAnsi" w:hAnsiTheme="minorHAnsi" w:cstheme="minorHAnsi"/>
        </w:rPr>
        <w:t>946</w:t>
      </w:r>
    </w:p>
    <w:p w14:paraId="05F09EC1" w14:textId="40A374C7" w:rsidR="006840B2" w:rsidRPr="002C50E0" w:rsidRDefault="006840B2" w:rsidP="002C50E0">
      <w:pPr>
        <w:pBdr>
          <w:top w:val="single" w:sz="4" w:space="1" w:color="auto"/>
          <w:left w:val="single" w:sz="4" w:space="4" w:color="auto"/>
          <w:bottom w:val="single" w:sz="4" w:space="1" w:color="auto"/>
          <w:right w:val="single" w:sz="4" w:space="4" w:color="auto"/>
        </w:pBdr>
        <w:jc w:val="both"/>
        <w:rPr>
          <w:rFonts w:asciiTheme="minorHAnsi" w:hAnsiTheme="minorHAnsi" w:cstheme="minorHAnsi"/>
        </w:rPr>
      </w:pPr>
      <w:r w:rsidRPr="002C50E0">
        <w:rPr>
          <w:rFonts w:asciiTheme="minorHAnsi" w:hAnsiTheme="minorHAnsi" w:cstheme="minorHAnsi"/>
        </w:rPr>
        <w:t>-</w:t>
      </w:r>
      <w:r w:rsidR="002C50E0" w:rsidRPr="002C50E0">
        <w:rPr>
          <w:rFonts w:asciiTheme="minorHAnsi" w:hAnsiTheme="minorHAnsi" w:cstheme="minorHAnsi"/>
        </w:rPr>
        <w:t xml:space="preserve"> Coûts de sortie</w:t>
      </w:r>
      <w:r w:rsidR="002C50E0" w:rsidRPr="002C50E0">
        <w:rPr>
          <w:rFonts w:asciiTheme="minorHAnsi" w:hAnsiTheme="minorHAnsi" w:cstheme="minorHAnsi"/>
        </w:rPr>
        <w:tab/>
      </w:r>
      <w:r w:rsidR="002C50E0" w:rsidRPr="002C50E0">
        <w:rPr>
          <w:rFonts w:asciiTheme="minorHAnsi" w:hAnsiTheme="minorHAnsi" w:cstheme="minorHAnsi"/>
        </w:rPr>
        <w:tab/>
      </w:r>
      <w:r w:rsidR="002C50E0" w:rsidRPr="002C50E0">
        <w:rPr>
          <w:rFonts w:asciiTheme="minorHAnsi" w:hAnsiTheme="minorHAnsi" w:cstheme="minorHAnsi"/>
        </w:rPr>
        <w:tab/>
      </w:r>
      <w:r w:rsidR="002C50E0" w:rsidRPr="002C50E0">
        <w:rPr>
          <w:rFonts w:asciiTheme="minorHAnsi" w:hAnsiTheme="minorHAnsi" w:cstheme="minorHAnsi"/>
        </w:rPr>
        <w:tab/>
      </w:r>
      <w:r w:rsidR="002C50E0" w:rsidRPr="002C50E0">
        <w:rPr>
          <w:rFonts w:asciiTheme="minorHAnsi" w:hAnsiTheme="minorHAnsi" w:cstheme="minorHAnsi"/>
        </w:rPr>
        <w:tab/>
      </w:r>
      <w:r w:rsidR="002C50E0" w:rsidRPr="002C50E0">
        <w:rPr>
          <w:rFonts w:asciiTheme="minorHAnsi" w:hAnsiTheme="minorHAnsi" w:cstheme="minorHAnsi"/>
        </w:rPr>
        <w:tab/>
      </w:r>
      <w:r w:rsidR="002C50E0" w:rsidRPr="002C50E0">
        <w:rPr>
          <w:rFonts w:asciiTheme="minorHAnsi" w:hAnsiTheme="minorHAnsi" w:cstheme="minorHAnsi"/>
        </w:rPr>
        <w:tab/>
      </w:r>
      <w:r w:rsidR="002C50E0" w:rsidRPr="002C50E0">
        <w:rPr>
          <w:rFonts w:asciiTheme="minorHAnsi" w:hAnsiTheme="minorHAnsi" w:cstheme="minorHAnsi"/>
        </w:rPr>
        <w:tab/>
      </w:r>
      <w:r w:rsidR="002C50E0" w:rsidRPr="002C50E0">
        <w:rPr>
          <w:rFonts w:asciiTheme="minorHAnsi" w:hAnsiTheme="minorHAnsi" w:cstheme="minorHAnsi"/>
        </w:rPr>
        <w:tab/>
        <w:t>-     189</w:t>
      </w:r>
    </w:p>
    <w:p w14:paraId="6C930B61" w14:textId="11E801F6" w:rsidR="002C50E0" w:rsidRDefault="002C50E0" w:rsidP="00644DE9">
      <w:pPr>
        <w:spacing w:after="160" w:line="259" w:lineRule="auto"/>
        <w:jc w:val="both"/>
        <w:rPr>
          <w:rFonts w:asciiTheme="minorHAnsi" w:hAnsiTheme="minorHAnsi" w:cstheme="minorHAnsi"/>
          <w:color w:val="000000" w:themeColor="text1"/>
        </w:rPr>
      </w:pPr>
    </w:p>
    <w:p w14:paraId="4854D638" w14:textId="3B16965C"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S’il n’est pas possible de déterminer la valeur actuelle d’un actif pris isolément. Il faut déterminer </w:t>
      </w:r>
      <w:r w:rsidRPr="00C21C0C">
        <w:rPr>
          <w:rFonts w:asciiTheme="minorHAnsi" w:hAnsiTheme="minorHAnsi" w:cstheme="minorHAnsi"/>
          <w:b/>
          <w:color w:val="000000" w:themeColor="text1"/>
        </w:rPr>
        <w:t>la valeur actuelle du groupe d’actifs</w:t>
      </w:r>
      <w:r w:rsidRPr="003F1B17">
        <w:rPr>
          <w:rFonts w:asciiTheme="minorHAnsi" w:hAnsiTheme="minorHAnsi" w:cstheme="minorHAnsi"/>
          <w:color w:val="000000" w:themeColor="text1"/>
        </w:rPr>
        <w:t xml:space="preserve"> auquel il appartient. Lorsqu’une dépréciation est comptabilisée dans un groupe d’actifs, la dépréciation est allouée en premier au fonds commercial puis aux autres actifs appartenant à ce groupe d’actifs.</w:t>
      </w:r>
    </w:p>
    <w:p w14:paraId="79AB0060" w14:textId="77777777" w:rsidR="00644DE9" w:rsidRPr="003F1B17" w:rsidRDefault="00644DE9" w:rsidP="00644DE9">
      <w:pPr>
        <w:spacing w:line="259" w:lineRule="auto"/>
        <w:jc w:val="both"/>
        <w:rPr>
          <w:rFonts w:asciiTheme="minorHAnsi" w:hAnsiTheme="minorHAnsi" w:cstheme="minorHAnsi"/>
          <w:b/>
          <w:color w:val="000000" w:themeColor="text1"/>
        </w:rPr>
      </w:pPr>
      <w:r w:rsidRPr="003F1B17">
        <w:rPr>
          <w:rFonts w:asciiTheme="minorHAnsi" w:hAnsiTheme="minorHAnsi" w:cstheme="minorHAnsi"/>
          <w:b/>
          <w:color w:val="000000" w:themeColor="text1"/>
        </w:rPr>
        <w:t>Les critères et méthode de calcul des avantages économiques futures retenus pour un actif doivent être appliqués de façon permanente à chaque évaluation de la valeur d’usage de l’actif.</w:t>
      </w:r>
    </w:p>
    <w:p w14:paraId="303A6181" w14:textId="77777777" w:rsidR="00644DE9" w:rsidRPr="003F1B17" w:rsidRDefault="00644DE9" w:rsidP="00644DE9">
      <w:pPr>
        <w:spacing w:line="259" w:lineRule="auto"/>
        <w:jc w:val="both"/>
        <w:rPr>
          <w:rFonts w:asciiTheme="minorHAnsi" w:hAnsiTheme="minorHAnsi" w:cstheme="minorHAnsi"/>
          <w:color w:val="000000" w:themeColor="text1"/>
        </w:rPr>
      </w:pPr>
    </w:p>
    <w:p w14:paraId="4ABB6ACE" w14:textId="77777777" w:rsidR="00644DE9" w:rsidRPr="003F1B17" w:rsidRDefault="00644DE9" w:rsidP="00644DE9">
      <w:pPr>
        <w:spacing w:after="160" w:line="259" w:lineRule="auto"/>
        <w:jc w:val="both"/>
        <w:rPr>
          <w:rFonts w:asciiTheme="minorHAnsi" w:hAnsiTheme="minorHAnsi" w:cstheme="minorHAnsi"/>
          <w:b/>
          <w:color w:val="000000" w:themeColor="text1"/>
        </w:rPr>
      </w:pPr>
      <w:r w:rsidRPr="003F1B17">
        <w:rPr>
          <w:rFonts w:asciiTheme="minorHAnsi" w:hAnsiTheme="minorHAnsi" w:cstheme="minorHAnsi"/>
          <w:b/>
          <w:color w:val="000000" w:themeColor="text1"/>
        </w:rPr>
        <w:t xml:space="preserve">Les dépréciations comptabilisées sur des actifs immobilisées ne sont pas définitives et peuvent être rapportées au résultat. </w:t>
      </w:r>
    </w:p>
    <w:p w14:paraId="12FD2B9E" w14:textId="77777777" w:rsidR="00644DE9" w:rsidRPr="003F1B17" w:rsidRDefault="00644DE9" w:rsidP="00644DE9">
      <w:pPr>
        <w:spacing w:after="160" w:line="259" w:lineRule="auto"/>
        <w:jc w:val="both"/>
        <w:rPr>
          <w:rFonts w:asciiTheme="minorHAnsi" w:hAnsiTheme="minorHAnsi" w:cstheme="minorHAnsi"/>
          <w:b/>
          <w:color w:val="000000" w:themeColor="text1"/>
          <w:u w:val="single"/>
        </w:rPr>
      </w:pPr>
    </w:p>
    <w:p w14:paraId="6463932C" w14:textId="77777777" w:rsidR="004362B4" w:rsidRDefault="004362B4">
      <w:pPr>
        <w:spacing w:after="160" w:line="259" w:lineRule="auto"/>
        <w:rPr>
          <w:rFonts w:asciiTheme="minorHAnsi" w:hAnsiTheme="minorHAnsi" w:cstheme="minorHAnsi"/>
          <w:b/>
          <w:color w:val="000000" w:themeColor="text1"/>
          <w:u w:val="single"/>
        </w:rPr>
      </w:pPr>
      <w:r>
        <w:rPr>
          <w:rFonts w:asciiTheme="minorHAnsi" w:hAnsiTheme="minorHAnsi" w:cstheme="minorHAnsi"/>
          <w:b/>
          <w:color w:val="000000" w:themeColor="text1"/>
          <w:u w:val="single"/>
        </w:rPr>
        <w:br w:type="page"/>
      </w:r>
    </w:p>
    <w:p w14:paraId="635A5963" w14:textId="77777777" w:rsidR="004362B4" w:rsidRDefault="004362B4" w:rsidP="00644DE9">
      <w:pPr>
        <w:spacing w:after="160" w:line="259" w:lineRule="auto"/>
        <w:jc w:val="both"/>
        <w:rPr>
          <w:rFonts w:asciiTheme="minorHAnsi" w:hAnsiTheme="minorHAnsi" w:cstheme="minorHAnsi"/>
          <w:b/>
          <w:color w:val="000000" w:themeColor="text1"/>
          <w:u w:val="single"/>
        </w:rPr>
      </w:pPr>
    </w:p>
    <w:p w14:paraId="157F0A84" w14:textId="360E72E4" w:rsidR="00644DE9" w:rsidRPr="00B4527B" w:rsidRDefault="00644DE9" w:rsidP="00B4527B">
      <w:pPr>
        <w:pStyle w:val="Titre3"/>
        <w:rPr>
          <w:rFonts w:ascii="Calibri" w:hAnsi="Calibri" w:cs="Calibri"/>
          <w:b/>
          <w:color w:val="auto"/>
          <w:sz w:val="22"/>
          <w:szCs w:val="22"/>
          <w:u w:val="single"/>
        </w:rPr>
      </w:pPr>
      <w:bookmarkStart w:id="7" w:name="_Toc471757694"/>
      <w:r w:rsidRPr="00B4527B">
        <w:rPr>
          <w:rFonts w:ascii="Calibri" w:hAnsi="Calibri" w:cs="Calibri"/>
          <w:b/>
          <w:color w:val="auto"/>
          <w:sz w:val="22"/>
          <w:szCs w:val="22"/>
          <w:u w:val="single"/>
        </w:rPr>
        <w:t>Les frais de développement (article 212-3 du PCG)</w:t>
      </w:r>
      <w:bookmarkEnd w:id="7"/>
    </w:p>
    <w:p w14:paraId="40458F9E" w14:textId="78740B52" w:rsidR="00E27588" w:rsidRPr="00EC6BE0" w:rsidRDefault="00623E39" w:rsidP="008B75AB">
      <w:pPr>
        <w:pBdr>
          <w:top w:val="single" w:sz="4" w:space="1" w:color="auto"/>
          <w:left w:val="single" w:sz="4" w:space="4" w:color="auto"/>
          <w:bottom w:val="single" w:sz="4" w:space="1" w:color="auto"/>
          <w:right w:val="single" w:sz="4" w:space="4" w:color="auto"/>
        </w:pBdr>
        <w:spacing w:before="100" w:beforeAutospacing="1" w:after="100" w:afterAutospacing="1"/>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L’article </w:t>
      </w:r>
      <w:r w:rsidR="00E27588">
        <w:rPr>
          <w:rFonts w:asciiTheme="minorHAnsi" w:hAnsiTheme="minorHAnsi" w:cstheme="minorHAnsi"/>
          <w:color w:val="000000" w:themeColor="text1"/>
        </w:rPr>
        <w:t>R.123-187 du code de commerce</w:t>
      </w:r>
      <w:r w:rsidRPr="003F1B17">
        <w:rPr>
          <w:rFonts w:asciiTheme="minorHAnsi" w:hAnsiTheme="minorHAnsi" w:cstheme="minorHAnsi"/>
          <w:color w:val="000000" w:themeColor="text1"/>
        </w:rPr>
        <w:t xml:space="preserve"> est modifié. Il dispose </w:t>
      </w:r>
      <w:r w:rsidR="00E27588" w:rsidRPr="00E27588">
        <w:rPr>
          <w:rFonts w:asciiTheme="minorHAnsi" w:hAnsiTheme="minorHAnsi" w:cstheme="minorHAnsi"/>
          <w:color w:val="000000" w:themeColor="text1"/>
        </w:rPr>
        <w:t>« </w:t>
      </w:r>
      <w:r w:rsidR="00E27588">
        <w:rPr>
          <w:rFonts w:asciiTheme="minorHAnsi" w:hAnsiTheme="minorHAnsi" w:cstheme="minorHAnsi"/>
          <w:color w:val="000000" w:themeColor="text1"/>
        </w:rPr>
        <w:t>..</w:t>
      </w:r>
      <w:r w:rsidR="00E27588" w:rsidRPr="00E27588">
        <w:rPr>
          <w:rFonts w:asciiTheme="minorHAnsi" w:hAnsiTheme="minorHAnsi" w:cstheme="minorHAnsi"/>
          <w:color w:val="000000" w:themeColor="text1"/>
        </w:rPr>
        <w:t>.</w:t>
      </w:r>
      <w:r w:rsidR="00E27588">
        <w:rPr>
          <w:rFonts w:asciiTheme="minorHAnsi" w:hAnsiTheme="minorHAnsi" w:cstheme="minorHAnsi"/>
          <w:color w:val="000000" w:themeColor="text1"/>
        </w:rPr>
        <w:t xml:space="preserve"> </w:t>
      </w:r>
      <w:r w:rsidRPr="00EC6BE0">
        <w:rPr>
          <w:rFonts w:asciiTheme="minorHAnsi" w:hAnsiTheme="minorHAnsi" w:cstheme="minorHAnsi"/>
          <w:color w:val="000000" w:themeColor="text1"/>
        </w:rPr>
        <w:t xml:space="preserve">Les frais de développement sont amortis sur la </w:t>
      </w:r>
      <w:r w:rsidRPr="00EC6BE0">
        <w:rPr>
          <w:rFonts w:asciiTheme="minorHAnsi" w:hAnsiTheme="minorHAnsi" w:cstheme="minorHAnsi"/>
          <w:b/>
          <w:color w:val="000000" w:themeColor="text1"/>
        </w:rPr>
        <w:t>durée d'utilisation estimée des projets et cette duré</w:t>
      </w:r>
      <w:r w:rsidRPr="00EC6BE0">
        <w:rPr>
          <w:rFonts w:asciiTheme="minorHAnsi" w:hAnsiTheme="minorHAnsi" w:cstheme="minorHAnsi"/>
          <w:color w:val="000000" w:themeColor="text1"/>
        </w:rPr>
        <w:t xml:space="preserve">e est justifiée dans l'annexe. Si leur durée d'utilisation ne peut pas être déterminée de </w:t>
      </w:r>
      <w:r w:rsidRPr="00EC6BE0">
        <w:rPr>
          <w:rFonts w:asciiTheme="minorHAnsi" w:hAnsiTheme="minorHAnsi" w:cstheme="minorHAnsi"/>
          <w:b/>
          <w:color w:val="000000" w:themeColor="text1"/>
        </w:rPr>
        <w:t>manière fiable, les frais de développement sont amortis sur une durée maximale de 5 ans</w:t>
      </w:r>
      <w:r w:rsidR="005F3810">
        <w:rPr>
          <w:rFonts w:asciiTheme="minorHAnsi" w:hAnsiTheme="minorHAnsi" w:cstheme="minorHAnsi"/>
          <w:color w:val="000000" w:themeColor="text1"/>
        </w:rPr>
        <w:t>… »</w:t>
      </w:r>
    </w:p>
    <w:p w14:paraId="6CA29038" w14:textId="2A89B765" w:rsidR="00644DE9" w:rsidRPr="005F3810" w:rsidRDefault="00AD1C16" w:rsidP="00644DE9">
      <w:pPr>
        <w:spacing w:after="160" w:line="259" w:lineRule="auto"/>
        <w:jc w:val="both"/>
        <w:rPr>
          <w:rFonts w:asciiTheme="minorHAnsi" w:hAnsiTheme="minorHAnsi" w:cstheme="minorHAnsi"/>
          <w:color w:val="000000" w:themeColor="text1"/>
        </w:rPr>
      </w:pPr>
      <w:r w:rsidRPr="00AD1C16">
        <w:rPr>
          <w:rFonts w:asciiTheme="minorHAnsi" w:hAnsiTheme="minorHAnsi" w:cstheme="minorHAnsi"/>
          <w:b/>
          <w:color w:val="000000" w:themeColor="text1"/>
        </w:rPr>
        <w:t>A</w:t>
      </w:r>
      <w:r w:rsidR="005F3810" w:rsidRPr="00AD1C16">
        <w:rPr>
          <w:rFonts w:asciiTheme="minorHAnsi" w:hAnsiTheme="minorHAnsi" w:cstheme="minorHAnsi"/>
          <w:b/>
          <w:color w:val="000000" w:themeColor="text1"/>
        </w:rPr>
        <w:t>uparavant,</w:t>
      </w:r>
      <w:r w:rsidR="005F3810">
        <w:rPr>
          <w:rFonts w:asciiTheme="minorHAnsi" w:hAnsiTheme="minorHAnsi" w:cstheme="minorHAnsi"/>
          <w:color w:val="000000" w:themeColor="text1"/>
        </w:rPr>
        <w:t xml:space="preserve"> </w:t>
      </w:r>
      <w:r>
        <w:rPr>
          <w:rFonts w:asciiTheme="minorHAnsi" w:hAnsiTheme="minorHAnsi" w:cstheme="minorHAnsi"/>
          <w:color w:val="000000" w:themeColor="text1"/>
        </w:rPr>
        <w:t xml:space="preserve">l’amortissement sur 5 ans était la règle. A titre exceptionnel, ces frais pouvaient être amortis </w:t>
      </w:r>
      <w:r w:rsidRPr="00EC6BE0">
        <w:rPr>
          <w:rFonts w:asciiTheme="minorHAnsi" w:hAnsiTheme="minorHAnsi" w:cstheme="minorHAnsi"/>
          <w:color w:val="000000" w:themeColor="text1"/>
        </w:rPr>
        <w:t>une période plus longue qui n'excède pas la durée d'utilisation de ces actifs</w:t>
      </w:r>
      <w:r>
        <w:rPr>
          <w:rFonts w:asciiTheme="minorHAnsi" w:hAnsiTheme="minorHAnsi" w:cstheme="minorHAnsi"/>
          <w:color w:val="000000" w:themeColor="text1"/>
        </w:rPr>
        <w:t xml:space="preserve"> </w:t>
      </w:r>
    </w:p>
    <w:p w14:paraId="3D8EFFDC" w14:textId="77777777" w:rsidR="00AD1C16" w:rsidRDefault="00AD1C16" w:rsidP="00AD1C16">
      <w:pPr>
        <w:spacing w:after="160" w:line="259" w:lineRule="auto"/>
        <w:jc w:val="both"/>
        <w:rPr>
          <w:rFonts w:asciiTheme="minorHAnsi" w:hAnsiTheme="minorHAnsi" w:cstheme="minorHAnsi"/>
          <w:color w:val="000000" w:themeColor="text1"/>
        </w:rPr>
      </w:pPr>
      <w:r w:rsidRPr="00AD1C16">
        <w:rPr>
          <w:rFonts w:asciiTheme="minorHAnsi" w:hAnsiTheme="minorHAnsi" w:cstheme="minorHAnsi"/>
          <w:b/>
          <w:color w:val="000000" w:themeColor="text1"/>
        </w:rPr>
        <w:t>Dorénavant</w:t>
      </w:r>
      <w:r w:rsidRPr="005F3810">
        <w:rPr>
          <w:rFonts w:asciiTheme="minorHAnsi" w:hAnsiTheme="minorHAnsi" w:cstheme="minorHAnsi"/>
          <w:color w:val="000000" w:themeColor="text1"/>
        </w:rPr>
        <w:t xml:space="preserve">, </w:t>
      </w:r>
      <w:r>
        <w:rPr>
          <w:rFonts w:asciiTheme="minorHAnsi" w:hAnsiTheme="minorHAnsi" w:cstheme="minorHAnsi"/>
          <w:color w:val="000000" w:themeColor="text1"/>
        </w:rPr>
        <w:t>la règle de l’amortissement sur 5 ans</w:t>
      </w:r>
      <w:r w:rsidRPr="005F3810">
        <w:rPr>
          <w:rFonts w:asciiTheme="minorHAnsi" w:hAnsiTheme="minorHAnsi" w:cstheme="minorHAnsi"/>
          <w:color w:val="000000" w:themeColor="text1"/>
        </w:rPr>
        <w:t xml:space="preserve"> devient l’</w:t>
      </w:r>
      <w:r>
        <w:rPr>
          <w:rFonts w:asciiTheme="minorHAnsi" w:hAnsiTheme="minorHAnsi" w:cstheme="minorHAnsi"/>
          <w:color w:val="000000" w:themeColor="text1"/>
        </w:rPr>
        <w:t xml:space="preserve">exception. </w:t>
      </w:r>
    </w:p>
    <w:p w14:paraId="6BFDA5EA" w14:textId="77777777" w:rsidR="004362B4" w:rsidRDefault="004362B4" w:rsidP="00644DE9">
      <w:pPr>
        <w:spacing w:after="160" w:line="259" w:lineRule="auto"/>
        <w:jc w:val="both"/>
        <w:rPr>
          <w:rFonts w:eastAsia="Times New Roman"/>
          <w:sz w:val="24"/>
          <w:szCs w:val="24"/>
          <w:lang w:eastAsia="fr-FR"/>
        </w:rPr>
      </w:pPr>
    </w:p>
    <w:p w14:paraId="7AD633D5" w14:textId="59943BD7" w:rsidR="00644DE9" w:rsidRPr="00B4527B" w:rsidRDefault="00B4527B" w:rsidP="00B4527B">
      <w:pPr>
        <w:pStyle w:val="Titre3"/>
        <w:rPr>
          <w:rFonts w:ascii="Calibri" w:hAnsi="Calibri" w:cs="Calibri"/>
          <w:b/>
          <w:color w:val="auto"/>
          <w:sz w:val="22"/>
          <w:szCs w:val="22"/>
          <w:u w:val="single"/>
        </w:rPr>
      </w:pPr>
      <w:bookmarkStart w:id="8" w:name="_Toc471757695"/>
      <w:r w:rsidRPr="00B4527B">
        <w:rPr>
          <w:rFonts w:ascii="Calibri" w:hAnsi="Calibri" w:cs="Calibri"/>
          <w:b/>
          <w:color w:val="auto"/>
          <w:sz w:val="22"/>
          <w:szCs w:val="22"/>
          <w:u w:val="single"/>
        </w:rPr>
        <w:t>Le fonds commercial</w:t>
      </w:r>
      <w:r>
        <w:rPr>
          <w:rFonts w:ascii="Calibri" w:hAnsi="Calibri" w:cs="Calibri"/>
          <w:b/>
          <w:color w:val="auto"/>
          <w:sz w:val="22"/>
          <w:szCs w:val="22"/>
          <w:u w:val="single"/>
        </w:rPr>
        <w:t> : définition, amortissements et dépréciations</w:t>
      </w:r>
      <w:bookmarkEnd w:id="8"/>
    </w:p>
    <w:p w14:paraId="068F6ED7" w14:textId="77777777" w:rsidR="00644DE9" w:rsidRPr="003F1B17" w:rsidRDefault="00644DE9" w:rsidP="00644DE9">
      <w:pPr>
        <w:spacing w:line="259" w:lineRule="auto"/>
        <w:jc w:val="both"/>
        <w:rPr>
          <w:rFonts w:asciiTheme="minorHAnsi" w:hAnsiTheme="minorHAnsi" w:cstheme="minorHAnsi"/>
          <w:b/>
          <w:color w:val="000000" w:themeColor="text1"/>
          <w:u w:val="single"/>
        </w:rPr>
      </w:pPr>
    </w:p>
    <w:p w14:paraId="479BD658" w14:textId="77777777" w:rsidR="00644DE9" w:rsidRPr="003F1B17" w:rsidRDefault="00644DE9" w:rsidP="00644DE9">
      <w:pPr>
        <w:pBdr>
          <w:top w:val="single" w:sz="4" w:space="1" w:color="auto"/>
          <w:left w:val="single" w:sz="4" w:space="4" w:color="auto"/>
          <w:bottom w:val="single" w:sz="4" w:space="1" w:color="auto"/>
          <w:right w:val="single" w:sz="4" w:space="4" w:color="auto"/>
        </w:pBd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Le règlement ANC n°2015-06 modifie l’article 212-3 du PCG « Sont comptabilisés dans le poste fonds commercial les éléments incorporels du fonds de commerce acquis qui ne font pas l’objet d’une évaluation et d’une comptabilisation séparées au bilan et qui concourent au maintien et au développement du potentiel d’activité de l’entité ». </w:t>
      </w:r>
    </w:p>
    <w:p w14:paraId="407AB633" w14:textId="77777777" w:rsidR="00644DE9" w:rsidRPr="003F1B17" w:rsidRDefault="00644DE9" w:rsidP="00644DE9">
      <w:pPr>
        <w:spacing w:line="259" w:lineRule="auto"/>
        <w:jc w:val="both"/>
        <w:rPr>
          <w:rFonts w:asciiTheme="minorHAnsi" w:hAnsiTheme="minorHAnsi" w:cstheme="minorHAnsi"/>
          <w:color w:val="000000" w:themeColor="text1"/>
        </w:rPr>
      </w:pPr>
    </w:p>
    <w:p w14:paraId="3EACA043" w14:textId="77777777" w:rsidR="00644DE9" w:rsidRPr="003F1B17" w:rsidRDefault="00644DE9" w:rsidP="00644DE9">
      <w:pPr>
        <w:pBdr>
          <w:top w:val="single" w:sz="4" w:space="1" w:color="auto"/>
          <w:left w:val="single" w:sz="4" w:space="4" w:color="auto"/>
          <w:bottom w:val="single" w:sz="4" w:space="1" w:color="auto"/>
          <w:right w:val="single" w:sz="4" w:space="4" w:color="auto"/>
        </w:pBd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La note de présentation du règlement ANC n°2015-06 précise : « Le fonds commercial, notion juridique spécifique en droit comptable français, constitue la partie « pivot » du fonds de commerce, notion consacrée par le droit commercial français. Il est composé principalement de la clientèle, de l’achalandage, de l’enseigne, du nom commercial et, plus largement, des parts de marché. </w:t>
      </w:r>
    </w:p>
    <w:p w14:paraId="7F8D0D17" w14:textId="77777777" w:rsidR="00644DE9" w:rsidRPr="003F1B17" w:rsidRDefault="00644DE9" w:rsidP="00644DE9">
      <w:pPr>
        <w:pBdr>
          <w:top w:val="single" w:sz="4" w:space="1" w:color="auto"/>
          <w:left w:val="single" w:sz="4" w:space="4" w:color="auto"/>
          <w:bottom w:val="single" w:sz="4" w:space="1" w:color="auto"/>
          <w:right w:val="single" w:sz="4" w:space="4" w:color="auto"/>
        </w:pBd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Le fonds commercial peut être : </w:t>
      </w:r>
    </w:p>
    <w:p w14:paraId="613C3AFE" w14:textId="77777777" w:rsidR="00644DE9" w:rsidRPr="003F1B17" w:rsidRDefault="00644DE9" w:rsidP="00644DE9">
      <w:pPr>
        <w:pBdr>
          <w:top w:val="single" w:sz="4" w:space="1" w:color="auto"/>
          <w:left w:val="single" w:sz="4" w:space="4" w:color="auto"/>
          <w:bottom w:val="single" w:sz="4" w:space="1" w:color="auto"/>
          <w:right w:val="single" w:sz="4" w:space="4" w:color="auto"/>
        </w:pBd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 associé ou non, à l’occasion de transactions juridiques portant sur le fonds de commerce, à des éléments qui peuvent y être rattachés (tels le matériel commercial, le matériel, les stocks, les brevets, les marques, les licences, le droit au bail) bien qu’ils aient une existence juridique distincte et soient généralement comptabilisés dans des postes spécifiques ; </w:t>
      </w:r>
    </w:p>
    <w:p w14:paraId="5EB0040E" w14:textId="77777777" w:rsidR="00644DE9" w:rsidRPr="003F1B17" w:rsidRDefault="00644DE9" w:rsidP="00644DE9">
      <w:pPr>
        <w:pBdr>
          <w:top w:val="single" w:sz="4" w:space="1" w:color="auto"/>
          <w:left w:val="single" w:sz="4" w:space="4" w:color="auto"/>
          <w:bottom w:val="single" w:sz="4" w:space="1" w:color="auto"/>
          <w:right w:val="single" w:sz="4" w:space="4" w:color="auto"/>
        </w:pBd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 cédé, loué ou nanti en tant que fonds de commerce, avec ou sans les autres éléments qui peuvent y être rattachés. </w:t>
      </w:r>
    </w:p>
    <w:p w14:paraId="21986880" w14:textId="77777777" w:rsidR="00644DE9" w:rsidRPr="003F1B17" w:rsidRDefault="00644DE9" w:rsidP="00644DE9">
      <w:pPr>
        <w:spacing w:line="259" w:lineRule="auto"/>
        <w:jc w:val="both"/>
        <w:rPr>
          <w:rFonts w:asciiTheme="minorHAnsi" w:hAnsiTheme="minorHAnsi" w:cstheme="minorHAnsi"/>
          <w:color w:val="000000" w:themeColor="text1"/>
        </w:rPr>
      </w:pPr>
    </w:p>
    <w:p w14:paraId="6EEDC10D" w14:textId="77777777"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Le règlement ANC n°2016-06 pose </w:t>
      </w:r>
      <w:r w:rsidRPr="003F1B17">
        <w:rPr>
          <w:rFonts w:asciiTheme="minorHAnsi" w:hAnsiTheme="minorHAnsi" w:cstheme="minorHAnsi"/>
          <w:b/>
          <w:color w:val="000000" w:themeColor="text1"/>
        </w:rPr>
        <w:t>le principe selon lequel le fonds commercial est présumé avoir une durée d’utilisation non limitée</w:t>
      </w:r>
      <w:r w:rsidRPr="003F1B17">
        <w:rPr>
          <w:rFonts w:asciiTheme="minorHAnsi" w:hAnsiTheme="minorHAnsi" w:cstheme="minorHAnsi"/>
          <w:color w:val="000000" w:themeColor="text1"/>
        </w:rPr>
        <w:t xml:space="preserve">. Il ne fait donc </w:t>
      </w:r>
      <w:r w:rsidRPr="003F1B17">
        <w:rPr>
          <w:rFonts w:asciiTheme="minorHAnsi" w:hAnsiTheme="minorHAnsi" w:cstheme="minorHAnsi"/>
          <w:b/>
          <w:color w:val="000000" w:themeColor="text1"/>
        </w:rPr>
        <w:t>pas l’objet d’un amortissement sans qu’il y ait à le justifier</w:t>
      </w:r>
      <w:r w:rsidRPr="003F1B17">
        <w:rPr>
          <w:rFonts w:asciiTheme="minorHAnsi" w:hAnsiTheme="minorHAnsi" w:cstheme="minorHAnsi"/>
          <w:color w:val="000000" w:themeColor="text1"/>
        </w:rPr>
        <w:t xml:space="preserve">. </w:t>
      </w:r>
    </w:p>
    <w:p w14:paraId="321405A9" w14:textId="77777777"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Cependant, cette présomption est </w:t>
      </w:r>
      <w:r w:rsidRPr="003F1B17">
        <w:rPr>
          <w:rFonts w:asciiTheme="minorHAnsi" w:hAnsiTheme="minorHAnsi" w:cstheme="minorHAnsi"/>
          <w:b/>
          <w:color w:val="000000" w:themeColor="text1"/>
        </w:rPr>
        <w:t>réfutable</w:t>
      </w:r>
      <w:r w:rsidRPr="003F1B17">
        <w:rPr>
          <w:rFonts w:asciiTheme="minorHAnsi" w:hAnsiTheme="minorHAnsi" w:cstheme="minorHAnsi"/>
          <w:color w:val="000000" w:themeColor="text1"/>
        </w:rPr>
        <w:t xml:space="preserve"> lorsque sa durée d’utilisation est limitée en fonction de critères liés à son utilisation (exemple : contrat de concession, autorisation </w:t>
      </w:r>
      <w:r w:rsidR="00FA102C" w:rsidRPr="003F1B17">
        <w:rPr>
          <w:rFonts w:asciiTheme="minorHAnsi" w:hAnsiTheme="minorHAnsi" w:cstheme="minorHAnsi"/>
          <w:color w:val="000000" w:themeColor="text1"/>
        </w:rPr>
        <w:t>d’</w:t>
      </w:r>
      <w:r w:rsidRPr="003F1B17">
        <w:rPr>
          <w:rFonts w:asciiTheme="minorHAnsi" w:hAnsiTheme="minorHAnsi" w:cstheme="minorHAnsi"/>
          <w:color w:val="000000" w:themeColor="text1"/>
        </w:rPr>
        <w:t>extraction d’une mine…). Dans ce cas, il est amorti sur sa durée d’utilisation ou si celle-ci ne peut être déterminée de façon fiable, sur une durée de 10 ans.</w:t>
      </w:r>
    </w:p>
    <w:p w14:paraId="4529FAA3" w14:textId="77777777"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Une mesure de simplification est introduite pour les petites entreprises</w:t>
      </w:r>
      <w:r w:rsidRPr="003F1B17">
        <w:rPr>
          <w:rStyle w:val="Appelnotedebasdep"/>
          <w:rFonts w:asciiTheme="minorHAnsi" w:hAnsiTheme="minorHAnsi" w:cstheme="minorHAnsi"/>
          <w:color w:val="000000" w:themeColor="text1"/>
        </w:rPr>
        <w:footnoteReference w:id="2"/>
      </w:r>
      <w:r w:rsidRPr="003F1B17">
        <w:rPr>
          <w:rFonts w:asciiTheme="minorHAnsi" w:hAnsiTheme="minorHAnsi" w:cstheme="minorHAnsi"/>
          <w:color w:val="000000" w:themeColor="text1"/>
        </w:rPr>
        <w:t xml:space="preserve"> qui peuvent l’amortir sur 10 ans dans leurs comptes annuels même s’il n’existe pas de limite prévisible à l’exploitation de ces derniers.</w:t>
      </w:r>
    </w:p>
    <w:p w14:paraId="3700A3CF" w14:textId="77777777" w:rsidR="00364FBB" w:rsidRDefault="00364FBB" w:rsidP="00644DE9">
      <w:pPr>
        <w:spacing w:after="160" w:line="259" w:lineRule="auto"/>
        <w:jc w:val="both"/>
        <w:rPr>
          <w:rFonts w:asciiTheme="minorHAnsi" w:hAnsiTheme="minorHAnsi" w:cstheme="minorHAnsi"/>
          <w:b/>
          <w:color w:val="000000" w:themeColor="text1"/>
        </w:rPr>
      </w:pPr>
    </w:p>
    <w:p w14:paraId="76811BAC" w14:textId="35F94609"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b/>
          <w:color w:val="000000" w:themeColor="text1"/>
        </w:rPr>
        <w:t>Dès lors qu’un fonds commercial n’est pas amorti, un test de dépréciation annuel est obligatoire, même sans indice de perte de valeur</w:t>
      </w:r>
      <w:r w:rsidRPr="003F1B17">
        <w:rPr>
          <w:rFonts w:asciiTheme="minorHAnsi" w:hAnsiTheme="minorHAnsi" w:cstheme="minorHAnsi"/>
          <w:color w:val="000000" w:themeColor="text1"/>
        </w:rPr>
        <w:t xml:space="preserve"> (article 214-15 du PCG).</w:t>
      </w:r>
    </w:p>
    <w:p w14:paraId="520F9B3B" w14:textId="77777777"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En revanche, pour les fonds amortis, ceux-ci font l’objet d’un test de dépréciation uniquement en présence d’un indice de perte de valeur à la clôture (PCG art. 214-15).</w:t>
      </w:r>
    </w:p>
    <w:p w14:paraId="3BC3091D" w14:textId="77777777" w:rsidR="00644DE9" w:rsidRPr="003F1B17" w:rsidRDefault="00644DE9" w:rsidP="00644DE9">
      <w:pPr>
        <w:spacing w:after="160" w:line="259" w:lineRule="auto"/>
        <w:jc w:val="both"/>
        <w:rPr>
          <w:rFonts w:asciiTheme="minorHAnsi" w:hAnsiTheme="minorHAnsi" w:cstheme="minorHAnsi"/>
          <w:i/>
          <w:color w:val="000000" w:themeColor="text1"/>
        </w:rPr>
      </w:pPr>
      <w:r w:rsidRPr="003F1B17">
        <w:rPr>
          <w:rFonts w:asciiTheme="minorHAnsi" w:hAnsiTheme="minorHAnsi" w:cstheme="minorHAnsi"/>
          <w:i/>
          <w:color w:val="000000" w:themeColor="text1"/>
          <w:u w:val="single"/>
        </w:rPr>
        <w:t>Synthèse</w:t>
      </w:r>
      <w:r w:rsidRPr="003F1B17">
        <w:rPr>
          <w:rFonts w:asciiTheme="minorHAnsi" w:hAnsiTheme="minorHAnsi" w:cstheme="minorHAnsi"/>
          <w:i/>
          <w:color w:val="000000" w:themeColor="text1"/>
        </w:rPr>
        <w:t xml:space="preserve"> (source : Feuillet rapide comptable 01/2016)</w:t>
      </w:r>
    </w:p>
    <w:p w14:paraId="44417FD7" w14:textId="77777777" w:rsidR="00644DE9" w:rsidRPr="003F1B17" w:rsidRDefault="00644DE9" w:rsidP="00644DE9">
      <w:pPr>
        <w:spacing w:after="160" w:line="259" w:lineRule="auto"/>
        <w:jc w:val="center"/>
        <w:rPr>
          <w:rFonts w:asciiTheme="minorHAnsi" w:hAnsiTheme="minorHAnsi" w:cstheme="minorHAnsi"/>
          <w:color w:val="000000" w:themeColor="text1"/>
        </w:rPr>
      </w:pPr>
      <w:r w:rsidRPr="003F1B17">
        <w:rPr>
          <w:rFonts w:asciiTheme="minorHAnsi" w:hAnsiTheme="minorHAnsi" w:cstheme="minorHAnsi"/>
          <w:noProof/>
          <w:color w:val="000000" w:themeColor="text1"/>
          <w:lang w:eastAsia="fr-FR"/>
        </w:rPr>
        <w:drawing>
          <wp:inline distT="0" distB="0" distL="0" distR="0" wp14:anchorId="7DAE73F5" wp14:editId="28A36AF4">
            <wp:extent cx="2442210" cy="1428686"/>
            <wp:effectExtent l="0" t="0" r="0" b="635"/>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3630" cy="1435367"/>
                    </a:xfrm>
                    <a:prstGeom prst="rect">
                      <a:avLst/>
                    </a:prstGeom>
                    <a:noFill/>
                    <a:ln>
                      <a:noFill/>
                    </a:ln>
                  </pic:spPr>
                </pic:pic>
              </a:graphicData>
            </a:graphic>
          </wp:inline>
        </w:drawing>
      </w:r>
    </w:p>
    <w:p w14:paraId="6011E4E4" w14:textId="171DFC75" w:rsidR="00644DE9" w:rsidRDefault="00644DE9" w:rsidP="00364FBB">
      <w:pPr>
        <w:spacing w:after="160" w:line="259" w:lineRule="auto"/>
        <w:rPr>
          <w:rFonts w:asciiTheme="minorHAnsi" w:hAnsiTheme="minorHAnsi" w:cstheme="minorHAnsi"/>
          <w:color w:val="000000" w:themeColor="text1"/>
        </w:rPr>
      </w:pPr>
      <w:r w:rsidRPr="003F1B17">
        <w:rPr>
          <w:rFonts w:asciiTheme="minorHAnsi" w:hAnsiTheme="minorHAnsi" w:cstheme="minorHAnsi"/>
          <w:color w:val="000000" w:themeColor="text1"/>
        </w:rPr>
        <w:t>Les dépréciations comptabilisées sur le fonds commercial ne sont jamais reprises au</w:t>
      </w:r>
      <w:r w:rsidR="00364FBB">
        <w:rPr>
          <w:rFonts w:asciiTheme="minorHAnsi" w:hAnsiTheme="minorHAnsi" w:cstheme="minorHAnsi"/>
          <w:color w:val="000000" w:themeColor="text1"/>
        </w:rPr>
        <w:t xml:space="preserve"> résultat (art 214-19 du PCG). </w:t>
      </w:r>
    </w:p>
    <w:p w14:paraId="746ACC79" w14:textId="77777777" w:rsidR="00364FBB" w:rsidRPr="003F1B17" w:rsidRDefault="00364FBB" w:rsidP="00364FBB">
      <w:pPr>
        <w:spacing w:after="160" w:line="259" w:lineRule="auto"/>
        <w:rPr>
          <w:rFonts w:asciiTheme="minorHAnsi" w:hAnsiTheme="minorHAnsi" w:cstheme="minorHAnsi"/>
          <w:color w:val="000000" w:themeColor="text1"/>
        </w:rPr>
      </w:pPr>
    </w:p>
    <w:p w14:paraId="2986F764" w14:textId="22EE8F73" w:rsidR="00644DE9" w:rsidRDefault="00644DE9" w:rsidP="00B4527B">
      <w:pPr>
        <w:pStyle w:val="Titre3"/>
        <w:rPr>
          <w:rFonts w:ascii="Calibri" w:hAnsi="Calibri" w:cs="Calibri"/>
          <w:b/>
          <w:color w:val="auto"/>
          <w:sz w:val="22"/>
          <w:szCs w:val="22"/>
          <w:u w:val="single"/>
        </w:rPr>
      </w:pPr>
      <w:bookmarkStart w:id="9" w:name="_Toc471757696"/>
      <w:r w:rsidRPr="00B4527B">
        <w:rPr>
          <w:rFonts w:ascii="Calibri" w:hAnsi="Calibri" w:cs="Calibri"/>
          <w:b/>
          <w:color w:val="auto"/>
          <w:sz w:val="22"/>
          <w:szCs w:val="22"/>
          <w:u w:val="single"/>
        </w:rPr>
        <w:t>Le mali technique de fusion</w:t>
      </w:r>
      <w:bookmarkEnd w:id="9"/>
    </w:p>
    <w:p w14:paraId="3501F9B5" w14:textId="77777777" w:rsidR="00B4527B" w:rsidRPr="00B4527B" w:rsidRDefault="00B4527B" w:rsidP="00B4527B"/>
    <w:p w14:paraId="39CD74C5" w14:textId="77777777" w:rsidR="00644DE9" w:rsidRPr="003F1B17" w:rsidRDefault="00644DE9" w:rsidP="00644DE9">
      <w:p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Le mali de fusion représente l'écart négatif entre l’actif net, positif ou négatif, reçu par l’entité absorbante à hauteur de sa participation dans l’entité absorbée et la valeur comptable de cette participation (article 745-3 du PCG).</w:t>
      </w:r>
    </w:p>
    <w:p w14:paraId="1A05814F" w14:textId="77777777" w:rsidR="00644DE9" w:rsidRPr="003F1B17" w:rsidRDefault="00644DE9" w:rsidP="00644DE9">
      <w:pPr>
        <w:spacing w:before="150"/>
        <w:rPr>
          <w:rFonts w:asciiTheme="minorHAnsi" w:hAnsiTheme="minorHAnsi" w:cstheme="minorHAnsi"/>
          <w:color w:val="000000" w:themeColor="text1"/>
        </w:rPr>
      </w:pPr>
      <w:r w:rsidRPr="003F1B17">
        <w:rPr>
          <w:rFonts w:asciiTheme="minorHAnsi" w:hAnsiTheme="minorHAnsi" w:cstheme="minorHAnsi"/>
          <w:b/>
          <w:color w:val="000000" w:themeColor="text1"/>
        </w:rPr>
        <w:t>Il se décompose</w:t>
      </w:r>
      <w:r w:rsidRPr="003F1B17">
        <w:rPr>
          <w:rFonts w:asciiTheme="minorHAnsi" w:hAnsiTheme="minorHAnsi" w:cstheme="minorHAnsi"/>
          <w:color w:val="000000" w:themeColor="text1"/>
        </w:rPr>
        <w:t xml:space="preserve"> entre </w:t>
      </w:r>
      <w:r w:rsidRPr="003F1B17">
        <w:rPr>
          <w:rFonts w:asciiTheme="minorHAnsi" w:hAnsiTheme="minorHAnsi" w:cstheme="minorHAnsi"/>
          <w:iCs/>
          <w:color w:val="000000" w:themeColor="text1"/>
        </w:rPr>
        <w:t>(article 745-4 du PCG)</w:t>
      </w:r>
      <w:r w:rsidRPr="003F1B17">
        <w:rPr>
          <w:rFonts w:asciiTheme="minorHAnsi" w:hAnsiTheme="minorHAnsi" w:cstheme="minorHAnsi"/>
          <w:color w:val="000000" w:themeColor="text1"/>
        </w:rPr>
        <w:t xml:space="preserve"> :</w:t>
      </w:r>
    </w:p>
    <w:p w14:paraId="603E8213" w14:textId="67B4A71B" w:rsidR="00644DE9" w:rsidRPr="003F1B17" w:rsidRDefault="00364FBB" w:rsidP="00644DE9">
      <w:pPr>
        <w:pStyle w:val="Paragraphedeliste"/>
        <w:numPr>
          <w:ilvl w:val="0"/>
          <w:numId w:val="1"/>
        </w:numPr>
        <w:spacing w:line="259" w:lineRule="auto"/>
        <w:jc w:val="both"/>
        <w:rPr>
          <w:rFonts w:asciiTheme="minorHAnsi" w:hAnsiTheme="minorHAnsi" w:cstheme="minorHAnsi"/>
          <w:color w:val="000000" w:themeColor="text1"/>
        </w:rPr>
      </w:pPr>
      <w:r>
        <w:rPr>
          <w:rFonts w:asciiTheme="minorHAnsi" w:hAnsiTheme="minorHAnsi" w:cstheme="minorHAnsi"/>
          <w:color w:val="000000" w:themeColor="text1"/>
        </w:rPr>
        <w:t>L</w:t>
      </w:r>
      <w:r w:rsidR="00644DE9" w:rsidRPr="003F1B17">
        <w:rPr>
          <w:rFonts w:asciiTheme="minorHAnsi" w:hAnsiTheme="minorHAnsi" w:cstheme="minorHAnsi"/>
          <w:color w:val="000000" w:themeColor="text1"/>
        </w:rPr>
        <w:t xml:space="preserve">e </w:t>
      </w:r>
      <w:r w:rsidR="00644DE9" w:rsidRPr="003F1B17">
        <w:rPr>
          <w:rFonts w:asciiTheme="minorHAnsi" w:hAnsiTheme="minorHAnsi" w:cstheme="minorHAnsi"/>
          <w:b/>
          <w:color w:val="000000" w:themeColor="text1"/>
        </w:rPr>
        <w:t>mali technique</w:t>
      </w:r>
      <w:r w:rsidR="00644DE9" w:rsidRPr="003F1B17">
        <w:rPr>
          <w:rFonts w:asciiTheme="minorHAnsi" w:hAnsiTheme="minorHAnsi" w:cstheme="minorHAnsi"/>
          <w:color w:val="000000" w:themeColor="text1"/>
        </w:rPr>
        <w:t xml:space="preserve"> (parfois appelé faux mali), qui correspond aux plus-values latentes sur les actifs comptabilisés ou non dans l'absorbée (actifs identifiés hors fonds commercial et fonds commercial), déduction faite des passifs non comptabilisés par l'absorbée en l'absence d'obligations comptables (provisions pour retraite, impôts différés passifs), pour les opérations effectuées à la valeur comptable ;</w:t>
      </w:r>
    </w:p>
    <w:p w14:paraId="5910EC97" w14:textId="05C8FBEB" w:rsidR="00644DE9" w:rsidRPr="003F1B17" w:rsidRDefault="00364FBB" w:rsidP="00644DE9">
      <w:pPr>
        <w:pStyle w:val="Paragraphedeliste"/>
        <w:numPr>
          <w:ilvl w:val="0"/>
          <w:numId w:val="1"/>
        </w:numPr>
        <w:spacing w:line="259" w:lineRule="auto"/>
        <w:jc w:val="both"/>
        <w:rPr>
          <w:rFonts w:asciiTheme="minorHAnsi" w:hAnsiTheme="minorHAnsi" w:cstheme="minorHAnsi"/>
          <w:color w:val="000000" w:themeColor="text1"/>
        </w:rPr>
      </w:pPr>
      <w:r>
        <w:rPr>
          <w:rFonts w:asciiTheme="minorHAnsi" w:hAnsiTheme="minorHAnsi" w:cstheme="minorHAnsi"/>
          <w:b/>
          <w:color w:val="000000" w:themeColor="text1"/>
        </w:rPr>
        <w:t>A</w:t>
      </w:r>
      <w:r w:rsidR="00644DE9" w:rsidRPr="003F1B17">
        <w:rPr>
          <w:rFonts w:asciiTheme="minorHAnsi" w:hAnsiTheme="minorHAnsi" w:cstheme="minorHAnsi"/>
          <w:b/>
          <w:color w:val="000000" w:themeColor="text1"/>
        </w:rPr>
        <w:t>u-delà du mali technique</w:t>
      </w:r>
      <w:r w:rsidR="00644DE9" w:rsidRPr="003F1B17">
        <w:rPr>
          <w:rFonts w:asciiTheme="minorHAnsi" w:hAnsiTheme="minorHAnsi" w:cstheme="minorHAnsi"/>
          <w:color w:val="000000" w:themeColor="text1"/>
        </w:rPr>
        <w:t>, le « vrai mali » qui correspond à l'éventuelle dépréciation ou complément de dépréciation de la participation détenue dans l'absorbée. Cette dépréciation ou ce complément doivent être comptabilisés dans le résultat financier de l’absorbante au cours de l'exercice duquel l'opération de fusion.</w:t>
      </w:r>
    </w:p>
    <w:p w14:paraId="795146F3" w14:textId="77777777" w:rsidR="00771118" w:rsidRPr="003F1B17" w:rsidRDefault="00771118" w:rsidP="00771118">
      <w:pPr>
        <w:pStyle w:val="Paragraphedeliste"/>
        <w:spacing w:line="259" w:lineRule="auto"/>
        <w:jc w:val="both"/>
        <w:rPr>
          <w:rFonts w:asciiTheme="minorHAnsi" w:hAnsiTheme="minorHAnsi" w:cstheme="minorHAnsi"/>
          <w:color w:val="000000" w:themeColor="text1"/>
        </w:rPr>
      </w:pPr>
    </w:p>
    <w:p w14:paraId="3E1BE046" w14:textId="77777777"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Seul le résiduel est affecté au fonds commercial.</w:t>
      </w:r>
    </w:p>
    <w:p w14:paraId="4E77AAFB" w14:textId="77777777"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b/>
          <w:color w:val="000000" w:themeColor="text1"/>
        </w:rPr>
        <w:t>Auparavant, le mali technique de fusion était comptabilisé pour sa totalité, en immobilisations incorporelles dans un sous compte du compte 207 fonds commercial</w:t>
      </w:r>
      <w:r w:rsidRPr="003F1B17">
        <w:rPr>
          <w:rFonts w:asciiTheme="minorHAnsi" w:hAnsiTheme="minorHAnsi" w:cstheme="minorHAnsi"/>
          <w:color w:val="000000" w:themeColor="text1"/>
        </w:rPr>
        <w:t xml:space="preserve">. Il faisait l’objet d’une affectation extra comptable aux actifs sous-jacents apportés. Il n’était pas possible de l’amortir. </w:t>
      </w:r>
    </w:p>
    <w:p w14:paraId="5FE738F2" w14:textId="77777777"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b/>
          <w:color w:val="000000" w:themeColor="text1"/>
        </w:rPr>
        <w:t>A compter du 1</w:t>
      </w:r>
      <w:r w:rsidRPr="003F1B17">
        <w:rPr>
          <w:rFonts w:asciiTheme="minorHAnsi" w:hAnsiTheme="minorHAnsi" w:cstheme="minorHAnsi"/>
          <w:b/>
          <w:color w:val="000000" w:themeColor="text1"/>
          <w:vertAlign w:val="superscript"/>
        </w:rPr>
        <w:t>er</w:t>
      </w:r>
      <w:r w:rsidRPr="003F1B17">
        <w:rPr>
          <w:rFonts w:asciiTheme="minorHAnsi" w:hAnsiTheme="minorHAnsi" w:cstheme="minorHAnsi"/>
          <w:b/>
          <w:color w:val="000000" w:themeColor="text1"/>
        </w:rPr>
        <w:t xml:space="preserve"> janvier 2016</w:t>
      </w:r>
      <w:r w:rsidRPr="003F1B17">
        <w:rPr>
          <w:rFonts w:asciiTheme="minorHAnsi" w:hAnsiTheme="minorHAnsi" w:cstheme="minorHAnsi"/>
          <w:color w:val="000000" w:themeColor="text1"/>
        </w:rPr>
        <w:t xml:space="preserve">, la mali technique ne peut plus être comptabilisé de manière globale dans le poste fonds commercial et non amorti. </w:t>
      </w:r>
      <w:r w:rsidRPr="003F1B17">
        <w:rPr>
          <w:rFonts w:asciiTheme="minorHAnsi" w:hAnsiTheme="minorHAnsi" w:cstheme="minorHAnsi"/>
          <w:b/>
          <w:color w:val="000000" w:themeColor="text1"/>
        </w:rPr>
        <w:t>L’entité doit procéder à son affectation</w:t>
      </w:r>
      <w:r w:rsidRPr="003F1B17">
        <w:rPr>
          <w:rFonts w:asciiTheme="minorHAnsi" w:hAnsiTheme="minorHAnsi" w:cstheme="minorHAnsi"/>
          <w:color w:val="000000" w:themeColor="text1"/>
        </w:rPr>
        <w:t>. Il est alors comptabilisé au bilan « par composante » en autres immobilisation incorporelles, corporelles, financières ou dans un compte d’actif circulant selon son affectation aux plus-values latentes sur les actifs sous-jacents apportés. Ainsi, seul le « reliquat » est affecté au fonds commercial.</w:t>
      </w:r>
    </w:p>
    <w:p w14:paraId="13B91E00" w14:textId="77777777" w:rsidR="00364FBB" w:rsidRDefault="00364FBB">
      <w:pPr>
        <w:spacing w:after="160" w:line="259" w:lineRule="auto"/>
        <w:rPr>
          <w:rFonts w:asciiTheme="minorHAnsi" w:hAnsiTheme="minorHAnsi" w:cstheme="minorHAnsi"/>
          <w:b/>
          <w:color w:val="000000" w:themeColor="text1"/>
        </w:rPr>
      </w:pPr>
      <w:r>
        <w:rPr>
          <w:rFonts w:asciiTheme="minorHAnsi" w:hAnsiTheme="minorHAnsi" w:cstheme="minorHAnsi"/>
          <w:b/>
          <w:color w:val="000000" w:themeColor="text1"/>
        </w:rPr>
        <w:br w:type="page"/>
      </w:r>
    </w:p>
    <w:p w14:paraId="3132F9A2" w14:textId="77777777" w:rsidR="00364FBB" w:rsidRDefault="00364FBB" w:rsidP="00644DE9">
      <w:pPr>
        <w:spacing w:after="160" w:line="259" w:lineRule="auto"/>
        <w:jc w:val="both"/>
        <w:rPr>
          <w:rFonts w:asciiTheme="minorHAnsi" w:hAnsiTheme="minorHAnsi" w:cstheme="minorHAnsi"/>
          <w:b/>
          <w:color w:val="000000" w:themeColor="text1"/>
        </w:rPr>
      </w:pPr>
    </w:p>
    <w:p w14:paraId="1E866562" w14:textId="5B33A7EE" w:rsidR="004362B4" w:rsidRDefault="00644DE9" w:rsidP="00364FBB">
      <w:pPr>
        <w:spacing w:after="160" w:line="259" w:lineRule="auto"/>
        <w:jc w:val="both"/>
        <w:rPr>
          <w:rFonts w:asciiTheme="minorHAnsi" w:hAnsiTheme="minorHAnsi" w:cstheme="minorHAnsi"/>
          <w:color w:val="000000" w:themeColor="text1"/>
        </w:rPr>
      </w:pPr>
      <w:r w:rsidRPr="003F1B17">
        <w:rPr>
          <w:rFonts w:asciiTheme="minorHAnsi" w:hAnsiTheme="minorHAnsi" w:cstheme="minorHAnsi"/>
          <w:b/>
          <w:color w:val="000000" w:themeColor="text1"/>
        </w:rPr>
        <w:t>En matière d’amortissement et de dépréciation, le mali technique de fusion suit les mêmes règles que l’actif sous-jacent auquel il est affecté</w:t>
      </w:r>
      <w:r w:rsidR="00364FBB">
        <w:rPr>
          <w:rFonts w:asciiTheme="minorHAnsi" w:hAnsiTheme="minorHAnsi" w:cstheme="minorHAnsi"/>
          <w:color w:val="000000" w:themeColor="text1"/>
        </w:rPr>
        <w:t>.</w:t>
      </w:r>
    </w:p>
    <w:p w14:paraId="12AD56B2" w14:textId="76EB9D2D" w:rsidR="00644DE9" w:rsidRPr="003F1B17" w:rsidRDefault="00644DE9" w:rsidP="00644DE9">
      <w:p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Les comptes suivants sont créés à cet effet (article</w:t>
      </w:r>
      <w:r w:rsidR="00771118" w:rsidRPr="003F1B17">
        <w:rPr>
          <w:rFonts w:asciiTheme="minorHAnsi" w:hAnsiTheme="minorHAnsi" w:cstheme="minorHAnsi"/>
          <w:color w:val="000000" w:themeColor="text1"/>
        </w:rPr>
        <w:t xml:space="preserve">s 745-6 et </w:t>
      </w:r>
      <w:r w:rsidRPr="003F1B17">
        <w:rPr>
          <w:rFonts w:asciiTheme="minorHAnsi" w:hAnsiTheme="minorHAnsi" w:cstheme="minorHAnsi"/>
          <w:color w:val="000000" w:themeColor="text1"/>
        </w:rPr>
        <w:t>932-1 du PCG</w:t>
      </w:r>
      <w:r w:rsidR="00771118" w:rsidRPr="003F1B17">
        <w:rPr>
          <w:rFonts w:asciiTheme="minorHAnsi" w:hAnsiTheme="minorHAnsi" w:cstheme="minorHAnsi"/>
          <w:color w:val="000000" w:themeColor="text1"/>
        </w:rPr>
        <w:t>)</w:t>
      </w:r>
      <w:r w:rsidRPr="003F1B17">
        <w:rPr>
          <w:rFonts w:asciiTheme="minorHAnsi" w:hAnsiTheme="minorHAnsi" w:cstheme="minorHAnsi"/>
          <w:color w:val="000000" w:themeColor="text1"/>
        </w:rPr>
        <w:t xml:space="preserve">: </w:t>
      </w:r>
    </w:p>
    <w:p w14:paraId="1EE3B884"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Compte 2081 - Mali de fusion sur actifs incorporels, </w:t>
      </w:r>
    </w:p>
    <w:p w14:paraId="212A6F3B"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Compte 2187 - Mali de fusion sur actifs corporels, </w:t>
      </w:r>
    </w:p>
    <w:p w14:paraId="73F9E4A6"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Compte 278- Mali de fusion sur actifs financiers, </w:t>
      </w:r>
    </w:p>
    <w:p w14:paraId="54C5B9AD"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Compte 4781- Mali de fusion sur actif circulant, </w:t>
      </w:r>
    </w:p>
    <w:p w14:paraId="407107FA"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Compte 28081 - Amortissement du mali de fusion sur actifs incorporels, </w:t>
      </w:r>
    </w:p>
    <w:p w14:paraId="4B4BCB66"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Compte 29081 - Dépréciation du mali de fusion sur actifs incorporels, </w:t>
      </w:r>
    </w:p>
    <w:p w14:paraId="35C6F022"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Compte 28187- Amortissement du mali de fusion sur actifs corporels, </w:t>
      </w:r>
    </w:p>
    <w:p w14:paraId="2BF7074B"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Compte 29187 - Dépréciation du mali de fusion sur actifs corporels, </w:t>
      </w:r>
    </w:p>
    <w:p w14:paraId="21ED139A" w14:textId="2FEDED09" w:rsidR="00644DE9" w:rsidRDefault="00644DE9" w:rsidP="00364FBB">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Compte 29787 - Dépréciation du mali de fusion sur actifs financiers.</w:t>
      </w:r>
    </w:p>
    <w:p w14:paraId="55AB32DB" w14:textId="77777777" w:rsidR="00364FBB" w:rsidRPr="00364FBB" w:rsidRDefault="00364FBB" w:rsidP="00364FBB">
      <w:pPr>
        <w:pStyle w:val="Paragraphedeliste"/>
        <w:spacing w:line="259" w:lineRule="auto"/>
        <w:jc w:val="both"/>
        <w:rPr>
          <w:rFonts w:asciiTheme="minorHAnsi" w:hAnsiTheme="minorHAnsi" w:cstheme="minorHAnsi"/>
          <w:color w:val="000000" w:themeColor="text1"/>
        </w:rPr>
      </w:pPr>
    </w:p>
    <w:p w14:paraId="1F15B5C4" w14:textId="77777777" w:rsidR="00644DE9" w:rsidRPr="003F1B17" w:rsidRDefault="00644DE9" w:rsidP="00644DE9">
      <w:pPr>
        <w:spacing w:after="160" w:line="259" w:lineRule="auto"/>
        <w:jc w:val="both"/>
        <w:rPr>
          <w:rFonts w:asciiTheme="minorHAnsi" w:hAnsiTheme="minorHAnsi" w:cstheme="minorHAnsi"/>
          <w:color w:val="000000" w:themeColor="text1"/>
        </w:rPr>
      </w:pPr>
      <w:r w:rsidRPr="00364FBB">
        <w:rPr>
          <w:rFonts w:asciiTheme="minorHAnsi" w:hAnsiTheme="minorHAnsi" w:cstheme="minorHAnsi"/>
          <w:b/>
          <w:color w:val="000000" w:themeColor="text1"/>
        </w:rPr>
        <w:t>Pour les exercices ouverts à compter du 1er janvier 2016</w:t>
      </w:r>
      <w:r w:rsidRPr="003F1B17">
        <w:rPr>
          <w:rFonts w:asciiTheme="minorHAnsi" w:hAnsiTheme="minorHAnsi" w:cstheme="minorHAnsi"/>
          <w:color w:val="000000" w:themeColor="text1"/>
        </w:rPr>
        <w:t xml:space="preserve">, les entreprises sont tenues de procéder à l'affectation du mali technique dans ces différents comptes. Cependant, le règlement leur laisse le choix entre la reprise de l'affectation extra-comptable existante ou une nouvelle affectation après réexamen des plus-values existantes. </w:t>
      </w:r>
    </w:p>
    <w:p w14:paraId="04A900E5" w14:textId="77777777" w:rsidR="00716C57" w:rsidRDefault="00716C57" w:rsidP="00644DE9">
      <w:pPr>
        <w:spacing w:after="160" w:line="259" w:lineRule="auto"/>
        <w:jc w:val="both"/>
        <w:rPr>
          <w:rFonts w:asciiTheme="minorHAnsi" w:hAnsiTheme="minorHAnsi" w:cstheme="minorHAnsi"/>
          <w:b/>
          <w:color w:val="000000" w:themeColor="text1"/>
          <w:u w:val="single"/>
        </w:rPr>
      </w:pPr>
    </w:p>
    <w:p w14:paraId="3528C4F5" w14:textId="51CEC6AF" w:rsidR="00644DE9" w:rsidRPr="00B4527B" w:rsidRDefault="00644DE9" w:rsidP="00B4527B">
      <w:pPr>
        <w:pStyle w:val="Titre3"/>
        <w:rPr>
          <w:rFonts w:ascii="Calibri" w:hAnsi="Calibri" w:cs="Calibri"/>
          <w:b/>
          <w:color w:val="auto"/>
          <w:sz w:val="22"/>
          <w:szCs w:val="22"/>
          <w:u w:val="single"/>
        </w:rPr>
      </w:pPr>
      <w:bookmarkStart w:id="10" w:name="_Toc471757697"/>
      <w:r w:rsidRPr="00B4527B">
        <w:rPr>
          <w:rFonts w:ascii="Calibri" w:hAnsi="Calibri" w:cs="Calibri"/>
          <w:b/>
          <w:color w:val="auto"/>
          <w:sz w:val="22"/>
          <w:szCs w:val="22"/>
          <w:u w:val="single"/>
        </w:rPr>
        <w:t>L’annexe</w:t>
      </w:r>
      <w:bookmarkEnd w:id="10"/>
    </w:p>
    <w:p w14:paraId="7818B794" w14:textId="329CDA1A" w:rsidR="00644DE9" w:rsidRDefault="00644DE9" w:rsidP="00644DE9">
      <w:pPr>
        <w:spacing w:before="100" w:beforeAutospacing="1" w:after="240"/>
        <w:rPr>
          <w:rFonts w:asciiTheme="minorHAnsi" w:hAnsiTheme="minorHAnsi" w:cstheme="minorHAnsi"/>
          <w:i/>
          <w:iCs/>
          <w:color w:val="000000"/>
        </w:rPr>
      </w:pPr>
      <w:r w:rsidRPr="003F1B17">
        <w:rPr>
          <w:rFonts w:asciiTheme="minorHAnsi" w:hAnsiTheme="minorHAnsi" w:cstheme="minorHAnsi"/>
          <w:color w:val="000000"/>
        </w:rPr>
        <w:t xml:space="preserve">Le PCG distingue désormais </w:t>
      </w:r>
      <w:r w:rsidRPr="003F1B17">
        <w:rPr>
          <w:rFonts w:asciiTheme="minorHAnsi" w:hAnsiTheme="minorHAnsi" w:cstheme="minorHAnsi"/>
          <w:b/>
          <w:color w:val="000000"/>
        </w:rPr>
        <w:t>cinq catégories de personnes</w:t>
      </w:r>
      <w:r w:rsidRPr="003F1B17">
        <w:rPr>
          <w:rFonts w:asciiTheme="minorHAnsi" w:hAnsiTheme="minorHAnsi" w:cstheme="minorHAnsi"/>
          <w:color w:val="000000"/>
        </w:rPr>
        <w:t xml:space="preserve"> pour lesquelles le contenu de l'annexe est précisé </w:t>
      </w:r>
      <w:r w:rsidRPr="003F1B17">
        <w:rPr>
          <w:rFonts w:asciiTheme="minorHAnsi" w:hAnsiTheme="minorHAnsi" w:cstheme="minorHAnsi"/>
          <w:iCs/>
          <w:color w:val="000000"/>
        </w:rPr>
        <w:t>(article 810-8 du PCG) :</w:t>
      </w:r>
      <w:r w:rsidRPr="003F1B17">
        <w:rPr>
          <w:rFonts w:asciiTheme="minorHAnsi" w:hAnsiTheme="minorHAnsi" w:cstheme="minorHAnsi"/>
          <w:i/>
          <w:iCs/>
          <w:color w:val="000000"/>
        </w:rPr>
        <w:t xml:space="preserve"> </w:t>
      </w:r>
    </w:p>
    <w:tbl>
      <w:tblPr>
        <w:tblStyle w:val="Grilledutableau"/>
        <w:tblW w:w="0" w:type="auto"/>
        <w:tblLook w:val="04A0" w:firstRow="1" w:lastRow="0" w:firstColumn="1" w:lastColumn="0" w:noHBand="0" w:noVBand="1"/>
      </w:tblPr>
      <w:tblGrid>
        <w:gridCol w:w="4530"/>
        <w:gridCol w:w="4530"/>
      </w:tblGrid>
      <w:tr w:rsidR="0088757E" w:rsidRPr="0088757E" w14:paraId="60528010" w14:textId="77777777" w:rsidTr="0088757E">
        <w:tc>
          <w:tcPr>
            <w:tcW w:w="4530" w:type="dxa"/>
          </w:tcPr>
          <w:p w14:paraId="3D16B94F" w14:textId="47F3BD16" w:rsidR="0088757E" w:rsidRPr="0088757E" w:rsidRDefault="0088757E" w:rsidP="0088757E">
            <w:pPr>
              <w:spacing w:before="100" w:beforeAutospacing="1" w:after="240"/>
              <w:rPr>
                <w:rFonts w:asciiTheme="minorHAnsi" w:hAnsiTheme="minorHAnsi" w:cstheme="minorHAnsi"/>
                <w:b/>
                <w:iCs/>
                <w:color w:val="000000"/>
              </w:rPr>
            </w:pPr>
            <w:r w:rsidRPr="0088757E">
              <w:rPr>
                <w:rFonts w:asciiTheme="minorHAnsi" w:hAnsiTheme="minorHAnsi" w:cstheme="minorHAnsi"/>
                <w:b/>
                <w:iCs/>
                <w:color w:val="000000"/>
              </w:rPr>
              <w:t>Catégories</w:t>
            </w:r>
          </w:p>
        </w:tc>
        <w:tc>
          <w:tcPr>
            <w:tcW w:w="4530" w:type="dxa"/>
          </w:tcPr>
          <w:p w14:paraId="2BCFDCB3" w14:textId="29AF5754" w:rsidR="0088757E" w:rsidRPr="0088757E" w:rsidRDefault="0088757E" w:rsidP="0088757E">
            <w:pPr>
              <w:spacing w:before="100" w:beforeAutospacing="1" w:after="240"/>
              <w:rPr>
                <w:rFonts w:asciiTheme="minorHAnsi" w:hAnsiTheme="minorHAnsi" w:cstheme="minorHAnsi"/>
                <w:b/>
                <w:iCs/>
                <w:color w:val="000000"/>
              </w:rPr>
            </w:pPr>
            <w:r w:rsidRPr="0088757E">
              <w:rPr>
                <w:rFonts w:asciiTheme="minorHAnsi" w:hAnsiTheme="minorHAnsi" w:cstheme="minorHAnsi"/>
                <w:b/>
                <w:iCs/>
                <w:color w:val="000000"/>
              </w:rPr>
              <w:t>Type d’annexe</w:t>
            </w:r>
          </w:p>
        </w:tc>
      </w:tr>
      <w:tr w:rsidR="0088757E" w14:paraId="6285F4D2" w14:textId="77777777" w:rsidTr="0088757E">
        <w:tc>
          <w:tcPr>
            <w:tcW w:w="4530" w:type="dxa"/>
          </w:tcPr>
          <w:p w14:paraId="5807D920" w14:textId="7161149A" w:rsidR="0088757E" w:rsidRDefault="0088757E" w:rsidP="00644DE9">
            <w:pPr>
              <w:spacing w:before="100" w:beforeAutospacing="1" w:after="240"/>
              <w:rPr>
                <w:rFonts w:asciiTheme="minorHAnsi" w:hAnsiTheme="minorHAnsi" w:cstheme="minorHAnsi"/>
                <w:iCs/>
                <w:color w:val="000000"/>
              </w:rPr>
            </w:pPr>
            <w:r>
              <w:rPr>
                <w:rFonts w:asciiTheme="minorHAnsi" w:hAnsiTheme="minorHAnsi" w:cstheme="minorHAnsi"/>
                <w:iCs/>
                <w:color w:val="000000"/>
              </w:rPr>
              <w:t xml:space="preserve">Personnes morales relevant du RSI </w:t>
            </w:r>
          </w:p>
        </w:tc>
        <w:tc>
          <w:tcPr>
            <w:tcW w:w="4530" w:type="dxa"/>
          </w:tcPr>
          <w:p w14:paraId="40218F5F" w14:textId="0209ADC9" w:rsidR="0088757E" w:rsidRDefault="0088757E" w:rsidP="00644DE9">
            <w:pPr>
              <w:spacing w:before="100" w:beforeAutospacing="1" w:after="240"/>
              <w:rPr>
                <w:rFonts w:asciiTheme="minorHAnsi" w:hAnsiTheme="minorHAnsi" w:cstheme="minorHAnsi"/>
                <w:iCs/>
                <w:color w:val="000000"/>
              </w:rPr>
            </w:pPr>
            <w:r>
              <w:rPr>
                <w:rFonts w:asciiTheme="minorHAnsi" w:hAnsiTheme="minorHAnsi" w:cstheme="minorHAnsi"/>
                <w:iCs/>
                <w:color w:val="000000"/>
              </w:rPr>
              <w:t>abrégée</w:t>
            </w:r>
          </w:p>
        </w:tc>
      </w:tr>
      <w:tr w:rsidR="0088757E" w14:paraId="5F99E2CC" w14:textId="77777777" w:rsidTr="0088757E">
        <w:tc>
          <w:tcPr>
            <w:tcW w:w="4530" w:type="dxa"/>
          </w:tcPr>
          <w:p w14:paraId="480DF6CD" w14:textId="512425E7" w:rsidR="0088757E" w:rsidRDefault="0088757E" w:rsidP="00644DE9">
            <w:pPr>
              <w:spacing w:before="100" w:beforeAutospacing="1" w:after="240"/>
              <w:rPr>
                <w:rFonts w:asciiTheme="minorHAnsi" w:hAnsiTheme="minorHAnsi" w:cstheme="minorHAnsi"/>
                <w:iCs/>
                <w:color w:val="000000"/>
              </w:rPr>
            </w:pPr>
            <w:r>
              <w:rPr>
                <w:rFonts w:asciiTheme="minorHAnsi" w:hAnsiTheme="minorHAnsi" w:cstheme="minorHAnsi"/>
                <w:iCs/>
                <w:color w:val="000000"/>
              </w:rPr>
              <w:t>Personnes morales « petites entreprises »</w:t>
            </w:r>
          </w:p>
        </w:tc>
        <w:tc>
          <w:tcPr>
            <w:tcW w:w="4530" w:type="dxa"/>
          </w:tcPr>
          <w:p w14:paraId="5AC2007F" w14:textId="3E7CAC99" w:rsidR="0088757E" w:rsidRDefault="0088757E" w:rsidP="00644DE9">
            <w:pPr>
              <w:spacing w:before="100" w:beforeAutospacing="1" w:after="240"/>
              <w:rPr>
                <w:rFonts w:asciiTheme="minorHAnsi" w:hAnsiTheme="minorHAnsi" w:cstheme="minorHAnsi"/>
                <w:iCs/>
                <w:color w:val="000000"/>
              </w:rPr>
            </w:pPr>
            <w:r>
              <w:rPr>
                <w:rFonts w:asciiTheme="minorHAnsi" w:hAnsiTheme="minorHAnsi" w:cstheme="minorHAnsi"/>
                <w:iCs/>
                <w:color w:val="000000"/>
              </w:rPr>
              <w:t>simplifiée</w:t>
            </w:r>
          </w:p>
        </w:tc>
      </w:tr>
      <w:tr w:rsidR="0088757E" w14:paraId="0A0F67B8" w14:textId="77777777" w:rsidTr="0088757E">
        <w:tc>
          <w:tcPr>
            <w:tcW w:w="4530" w:type="dxa"/>
          </w:tcPr>
          <w:p w14:paraId="2D9EA412" w14:textId="5C2FECEB" w:rsidR="0088757E" w:rsidRDefault="0088757E" w:rsidP="0088757E">
            <w:pPr>
              <w:spacing w:before="100" w:beforeAutospacing="1" w:after="240"/>
              <w:rPr>
                <w:rFonts w:asciiTheme="minorHAnsi" w:hAnsiTheme="minorHAnsi" w:cstheme="minorHAnsi"/>
                <w:iCs/>
                <w:color w:val="000000"/>
              </w:rPr>
            </w:pPr>
            <w:r>
              <w:rPr>
                <w:rFonts w:asciiTheme="minorHAnsi" w:hAnsiTheme="minorHAnsi" w:cstheme="minorHAnsi"/>
                <w:iCs/>
                <w:color w:val="000000"/>
              </w:rPr>
              <w:t>Autres personnes morales</w:t>
            </w:r>
          </w:p>
        </w:tc>
        <w:tc>
          <w:tcPr>
            <w:tcW w:w="4530" w:type="dxa"/>
          </w:tcPr>
          <w:p w14:paraId="3A0918F6" w14:textId="363665F0" w:rsidR="0088757E" w:rsidRDefault="0088757E" w:rsidP="0088757E">
            <w:pPr>
              <w:spacing w:before="100" w:beforeAutospacing="1" w:after="240"/>
              <w:rPr>
                <w:rFonts w:asciiTheme="minorHAnsi" w:hAnsiTheme="minorHAnsi" w:cstheme="minorHAnsi"/>
                <w:iCs/>
                <w:color w:val="000000"/>
              </w:rPr>
            </w:pPr>
            <w:r>
              <w:rPr>
                <w:rFonts w:asciiTheme="minorHAnsi" w:hAnsiTheme="minorHAnsi" w:cstheme="minorHAnsi"/>
                <w:iCs/>
                <w:color w:val="000000"/>
              </w:rPr>
              <w:t>de base (ou développée)</w:t>
            </w:r>
          </w:p>
        </w:tc>
      </w:tr>
      <w:tr w:rsidR="0088757E" w14:paraId="654620CD" w14:textId="77777777" w:rsidTr="0051551C">
        <w:tc>
          <w:tcPr>
            <w:tcW w:w="4530" w:type="dxa"/>
          </w:tcPr>
          <w:p w14:paraId="50108617" w14:textId="333C187B" w:rsidR="0088757E" w:rsidRDefault="0088757E" w:rsidP="0088757E">
            <w:pPr>
              <w:spacing w:before="100" w:beforeAutospacing="1" w:after="240"/>
              <w:rPr>
                <w:rFonts w:asciiTheme="minorHAnsi" w:hAnsiTheme="minorHAnsi" w:cstheme="minorHAnsi"/>
                <w:iCs/>
                <w:color w:val="000000"/>
              </w:rPr>
            </w:pPr>
            <w:r>
              <w:rPr>
                <w:rFonts w:asciiTheme="minorHAnsi" w:hAnsiTheme="minorHAnsi" w:cstheme="minorHAnsi"/>
                <w:iCs/>
                <w:color w:val="000000"/>
              </w:rPr>
              <w:t>Personnes physiques « petites entreprises »</w:t>
            </w:r>
          </w:p>
        </w:tc>
        <w:tc>
          <w:tcPr>
            <w:tcW w:w="4530" w:type="dxa"/>
          </w:tcPr>
          <w:p w14:paraId="24F4FACC" w14:textId="732FFDD4" w:rsidR="0088757E" w:rsidRDefault="0088757E" w:rsidP="0088757E">
            <w:pPr>
              <w:spacing w:before="100" w:beforeAutospacing="1" w:after="240"/>
              <w:rPr>
                <w:rFonts w:asciiTheme="minorHAnsi" w:hAnsiTheme="minorHAnsi" w:cstheme="minorHAnsi"/>
                <w:iCs/>
                <w:color w:val="000000"/>
              </w:rPr>
            </w:pPr>
            <w:r>
              <w:rPr>
                <w:rFonts w:asciiTheme="minorHAnsi" w:hAnsiTheme="minorHAnsi" w:cstheme="minorHAnsi"/>
                <w:iCs/>
                <w:color w:val="000000"/>
              </w:rPr>
              <w:t>simplifiée</w:t>
            </w:r>
          </w:p>
        </w:tc>
      </w:tr>
      <w:tr w:rsidR="0088757E" w14:paraId="723B7B5B" w14:textId="77777777" w:rsidTr="0088757E">
        <w:tc>
          <w:tcPr>
            <w:tcW w:w="4530" w:type="dxa"/>
          </w:tcPr>
          <w:p w14:paraId="0C0AA2DD" w14:textId="453434C9" w:rsidR="0088757E" w:rsidRDefault="0088757E" w:rsidP="0088757E">
            <w:pPr>
              <w:spacing w:before="100" w:beforeAutospacing="1" w:after="240"/>
              <w:rPr>
                <w:rFonts w:asciiTheme="minorHAnsi" w:hAnsiTheme="minorHAnsi" w:cstheme="minorHAnsi"/>
                <w:iCs/>
                <w:color w:val="000000"/>
              </w:rPr>
            </w:pPr>
            <w:r>
              <w:rPr>
                <w:rFonts w:asciiTheme="minorHAnsi" w:hAnsiTheme="minorHAnsi" w:cstheme="minorHAnsi"/>
                <w:iCs/>
                <w:color w:val="000000"/>
              </w:rPr>
              <w:t>Autres personnes physiques</w:t>
            </w:r>
          </w:p>
        </w:tc>
        <w:tc>
          <w:tcPr>
            <w:tcW w:w="4530" w:type="dxa"/>
          </w:tcPr>
          <w:p w14:paraId="0F16A16D" w14:textId="78FE3329" w:rsidR="0088757E" w:rsidRDefault="0088757E" w:rsidP="0088757E">
            <w:pPr>
              <w:spacing w:before="100" w:beforeAutospacing="1" w:after="240"/>
              <w:rPr>
                <w:rFonts w:asciiTheme="minorHAnsi" w:hAnsiTheme="minorHAnsi" w:cstheme="minorHAnsi"/>
                <w:iCs/>
                <w:color w:val="000000"/>
              </w:rPr>
            </w:pPr>
            <w:r>
              <w:rPr>
                <w:rFonts w:asciiTheme="minorHAnsi" w:hAnsiTheme="minorHAnsi" w:cstheme="minorHAnsi"/>
                <w:iCs/>
                <w:color w:val="000000"/>
              </w:rPr>
              <w:t>de base (ou développée)</w:t>
            </w:r>
          </w:p>
        </w:tc>
      </w:tr>
    </w:tbl>
    <w:p w14:paraId="1EB93FCD" w14:textId="7DA52EBF" w:rsidR="004362B4" w:rsidRDefault="004362B4" w:rsidP="00644DE9">
      <w:pPr>
        <w:spacing w:after="160" w:line="259" w:lineRule="auto"/>
        <w:jc w:val="both"/>
        <w:rPr>
          <w:rFonts w:asciiTheme="minorHAnsi" w:hAnsiTheme="minorHAnsi" w:cstheme="minorHAnsi"/>
        </w:rPr>
      </w:pPr>
      <w:bookmarkStart w:id="11" w:name="s16"/>
      <w:bookmarkEnd w:id="11"/>
    </w:p>
    <w:p w14:paraId="44FF493A" w14:textId="77777777" w:rsidR="004362B4" w:rsidRDefault="004362B4">
      <w:pPr>
        <w:spacing w:after="160" w:line="259" w:lineRule="auto"/>
        <w:rPr>
          <w:rFonts w:asciiTheme="minorHAnsi" w:hAnsiTheme="minorHAnsi" w:cstheme="minorHAnsi"/>
        </w:rPr>
      </w:pPr>
      <w:r>
        <w:rPr>
          <w:rFonts w:asciiTheme="minorHAnsi" w:hAnsiTheme="minorHAnsi" w:cstheme="minorHAnsi"/>
        </w:rPr>
        <w:br w:type="page"/>
      </w:r>
    </w:p>
    <w:p w14:paraId="57B2B3B6" w14:textId="77777777" w:rsidR="00644DE9" w:rsidRPr="003F1B17" w:rsidRDefault="00644DE9" w:rsidP="00644DE9">
      <w:pPr>
        <w:spacing w:after="160" w:line="259" w:lineRule="auto"/>
        <w:jc w:val="both"/>
        <w:rPr>
          <w:rFonts w:asciiTheme="minorHAnsi" w:hAnsiTheme="minorHAnsi" w:cstheme="minorHAnsi"/>
        </w:rPr>
      </w:pPr>
    </w:p>
    <w:p w14:paraId="43D16C9F" w14:textId="5F5DB624" w:rsidR="00644DE9" w:rsidRPr="00E14B8A" w:rsidRDefault="00E14B8A" w:rsidP="00E14B8A">
      <w:pPr>
        <w:pStyle w:val="Titre2"/>
        <w:rPr>
          <w:rFonts w:ascii="Calibri" w:hAnsi="Calibri" w:cs="Calibri"/>
          <w:b/>
          <w:i/>
          <w:color w:val="auto"/>
          <w:sz w:val="24"/>
          <w:szCs w:val="24"/>
        </w:rPr>
      </w:pPr>
      <w:bookmarkStart w:id="12" w:name="_Toc471757698"/>
      <w:r w:rsidRPr="00E14B8A">
        <w:rPr>
          <w:rFonts w:ascii="Calibri" w:hAnsi="Calibri" w:cs="Calibri"/>
          <w:b/>
          <w:i/>
          <w:color w:val="auto"/>
          <w:sz w:val="24"/>
          <w:szCs w:val="24"/>
        </w:rPr>
        <w:t xml:space="preserve">1.3 </w:t>
      </w:r>
      <w:r w:rsidR="00644DE9" w:rsidRPr="00E14B8A">
        <w:rPr>
          <w:rFonts w:ascii="Calibri" w:hAnsi="Calibri" w:cs="Calibri"/>
          <w:b/>
          <w:i/>
          <w:color w:val="auto"/>
          <w:sz w:val="24"/>
          <w:szCs w:val="24"/>
        </w:rPr>
        <w:t>Les comptes consolidés (règlement ANC n°2015-07 du 23 novembre 2015)</w:t>
      </w:r>
      <w:bookmarkEnd w:id="12"/>
      <w:r w:rsidR="00644DE9" w:rsidRPr="00E14B8A">
        <w:rPr>
          <w:rFonts w:ascii="Calibri" w:hAnsi="Calibri" w:cs="Calibri"/>
          <w:b/>
          <w:i/>
          <w:color w:val="auto"/>
          <w:sz w:val="24"/>
          <w:szCs w:val="24"/>
        </w:rPr>
        <w:t xml:space="preserve"> </w:t>
      </w:r>
    </w:p>
    <w:p w14:paraId="5440DEBC" w14:textId="77777777" w:rsidR="00644DE9" w:rsidRPr="003F1B17" w:rsidRDefault="00644DE9" w:rsidP="00644DE9">
      <w:pPr>
        <w:pStyle w:val="Paragraphedeliste"/>
        <w:jc w:val="both"/>
        <w:rPr>
          <w:rFonts w:asciiTheme="minorHAnsi" w:eastAsia="Times New Roman" w:hAnsiTheme="minorHAnsi" w:cstheme="minorHAnsi"/>
          <w:b/>
          <w:i/>
          <w:sz w:val="24"/>
          <w:szCs w:val="24"/>
          <w:lang w:eastAsia="fr-FR"/>
        </w:rPr>
      </w:pPr>
    </w:p>
    <w:p w14:paraId="57ADBD5E" w14:textId="77777777" w:rsidR="00644DE9" w:rsidRPr="003F1B17" w:rsidRDefault="00644DE9" w:rsidP="00644DE9">
      <w:pPr>
        <w:spacing w:line="300" w:lineRule="atLeast"/>
        <w:jc w:val="both"/>
        <w:rPr>
          <w:rFonts w:asciiTheme="minorHAnsi" w:hAnsiTheme="minorHAnsi" w:cstheme="minorHAnsi"/>
          <w:color w:val="000000"/>
        </w:rPr>
      </w:pPr>
      <w:r w:rsidRPr="003F1B17">
        <w:rPr>
          <w:rFonts w:asciiTheme="minorHAnsi" w:hAnsiTheme="minorHAnsi" w:cstheme="minorHAnsi"/>
          <w:color w:val="000000"/>
        </w:rPr>
        <w:t xml:space="preserve">Le règlement ANC n° 2015-07 du 23 novembre 2015 modifiant l’annexe du règlement n°99-02 du Comité de la réglementation comptable (CRC) modifié relatif aux comptes consolidés des sociétés commerciales et entreprises publiques modifie notamment : </w:t>
      </w:r>
    </w:p>
    <w:p w14:paraId="3F46AEA4"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Les règles d’amortissement et de dépréciation de l’écart d’acquisition positif ; </w:t>
      </w:r>
    </w:p>
    <w:p w14:paraId="15A6AE36"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Le reclassement des parts de marché en écart d’acquisition ; </w:t>
      </w:r>
    </w:p>
    <w:p w14:paraId="3675FEEC"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Les informations à mentionner dans l’annexe des comptes consolidés</w:t>
      </w:r>
    </w:p>
    <w:p w14:paraId="67C16B24" w14:textId="77777777" w:rsidR="00644DE9" w:rsidRPr="003F1B17" w:rsidRDefault="00644DE9" w:rsidP="00644DE9">
      <w:pPr>
        <w:spacing w:line="300" w:lineRule="atLeast"/>
        <w:jc w:val="both"/>
        <w:rPr>
          <w:rFonts w:asciiTheme="minorHAnsi" w:hAnsiTheme="minorHAnsi" w:cstheme="minorHAnsi"/>
          <w:color w:val="000000"/>
        </w:rPr>
      </w:pPr>
    </w:p>
    <w:p w14:paraId="023821E4" w14:textId="77777777" w:rsidR="00644DE9" w:rsidRPr="003F1B17" w:rsidRDefault="00644DE9" w:rsidP="00644DE9">
      <w:pPr>
        <w:rPr>
          <w:rFonts w:asciiTheme="minorHAnsi" w:hAnsiTheme="minorHAnsi" w:cstheme="minorHAnsi"/>
          <w:color w:val="000000"/>
        </w:rPr>
      </w:pPr>
      <w:r w:rsidRPr="003F1B17">
        <w:rPr>
          <w:rFonts w:asciiTheme="minorHAnsi" w:hAnsiTheme="minorHAnsi" w:cstheme="minorHAnsi"/>
          <w:color w:val="000000"/>
        </w:rPr>
        <w:t xml:space="preserve">Ce règlement s’applique aux exercices ouverts à compter du </w:t>
      </w:r>
      <w:r w:rsidRPr="003F1B17">
        <w:rPr>
          <w:rFonts w:asciiTheme="minorHAnsi" w:hAnsiTheme="minorHAnsi" w:cstheme="minorHAnsi"/>
          <w:b/>
          <w:color w:val="000000"/>
        </w:rPr>
        <w:t>1</w:t>
      </w:r>
      <w:r w:rsidRPr="003F1B17">
        <w:rPr>
          <w:rFonts w:asciiTheme="minorHAnsi" w:hAnsiTheme="minorHAnsi" w:cstheme="minorHAnsi"/>
          <w:b/>
          <w:color w:val="000000"/>
          <w:vertAlign w:val="superscript"/>
        </w:rPr>
        <w:t>er</w:t>
      </w:r>
      <w:r w:rsidRPr="003F1B17">
        <w:rPr>
          <w:rFonts w:asciiTheme="minorHAnsi" w:hAnsiTheme="minorHAnsi" w:cstheme="minorHAnsi"/>
          <w:b/>
          <w:color w:val="000000"/>
        </w:rPr>
        <w:t xml:space="preserve"> janvier 2016.</w:t>
      </w:r>
    </w:p>
    <w:p w14:paraId="3E78EB30" w14:textId="77777777" w:rsidR="00644DE9" w:rsidRPr="003F1B17" w:rsidRDefault="00644DE9" w:rsidP="00644DE9">
      <w:pPr>
        <w:spacing w:after="240"/>
        <w:rPr>
          <w:rFonts w:asciiTheme="minorHAnsi" w:hAnsiTheme="minorHAnsi" w:cstheme="minorHAnsi"/>
          <w:b/>
          <w:color w:val="000000" w:themeColor="text1"/>
          <w:u w:val="single"/>
        </w:rPr>
      </w:pPr>
    </w:p>
    <w:p w14:paraId="3FE37598" w14:textId="3BD82AB5" w:rsidR="00644DE9" w:rsidRDefault="00644DE9" w:rsidP="00B4527B">
      <w:pPr>
        <w:pStyle w:val="Titre3"/>
        <w:rPr>
          <w:rFonts w:ascii="Calibri" w:hAnsi="Calibri" w:cs="Calibri"/>
          <w:b/>
          <w:color w:val="auto"/>
          <w:sz w:val="22"/>
          <w:szCs w:val="22"/>
          <w:u w:val="single"/>
        </w:rPr>
      </w:pPr>
      <w:bookmarkStart w:id="13" w:name="_Toc471757699"/>
      <w:r w:rsidRPr="00B4527B">
        <w:rPr>
          <w:rFonts w:ascii="Calibri" w:hAnsi="Calibri" w:cs="Calibri"/>
          <w:b/>
          <w:color w:val="auto"/>
          <w:sz w:val="22"/>
          <w:szCs w:val="22"/>
          <w:u w:val="single"/>
        </w:rPr>
        <w:t>L’établissement des comptes consolidés</w:t>
      </w:r>
      <w:bookmarkEnd w:id="13"/>
    </w:p>
    <w:p w14:paraId="6EEB397E" w14:textId="77777777" w:rsidR="00B4527B" w:rsidRPr="00B4527B" w:rsidRDefault="00B4527B" w:rsidP="00B4527B"/>
    <w:p w14:paraId="14231AF1" w14:textId="77777777" w:rsidR="00644DE9" w:rsidRPr="003F1B17" w:rsidRDefault="00644DE9" w:rsidP="00644DE9">
      <w:pPr>
        <w:spacing w:after="240"/>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L’Ordonnance n°2015-900 modifie la rédaction de l’article L.233-16 du code de commerce. Pour les </w:t>
      </w:r>
      <w:r w:rsidRPr="003F1B17">
        <w:rPr>
          <w:rFonts w:asciiTheme="minorHAnsi" w:hAnsiTheme="minorHAnsi" w:cstheme="minorHAnsi"/>
          <w:b/>
          <w:color w:val="000000" w:themeColor="text1"/>
        </w:rPr>
        <w:t>exercices ouverts à compter du 1</w:t>
      </w:r>
      <w:r w:rsidRPr="003F1B17">
        <w:rPr>
          <w:rFonts w:asciiTheme="minorHAnsi" w:hAnsiTheme="minorHAnsi" w:cstheme="minorHAnsi"/>
          <w:b/>
          <w:color w:val="000000" w:themeColor="text1"/>
          <w:vertAlign w:val="superscript"/>
        </w:rPr>
        <w:t>er</w:t>
      </w:r>
      <w:r w:rsidRPr="003F1B17">
        <w:rPr>
          <w:rFonts w:asciiTheme="minorHAnsi" w:hAnsiTheme="minorHAnsi" w:cstheme="minorHAnsi"/>
          <w:b/>
          <w:color w:val="000000" w:themeColor="text1"/>
        </w:rPr>
        <w:t xml:space="preserve"> janvier 2016</w:t>
      </w:r>
      <w:r w:rsidRPr="003F1B17">
        <w:rPr>
          <w:rFonts w:asciiTheme="minorHAnsi" w:hAnsiTheme="minorHAnsi" w:cstheme="minorHAnsi"/>
          <w:color w:val="000000" w:themeColor="text1"/>
        </w:rPr>
        <w:t xml:space="preserve">, les sociétés commerciales ont l’obligation d’établir et de publier des comptes consolidés ainsi qu’un rapport de gestion sur le groupe, dès lors qu'elles contrôlent de </w:t>
      </w:r>
      <w:r w:rsidRPr="003F1B17">
        <w:rPr>
          <w:rFonts w:asciiTheme="minorHAnsi" w:hAnsiTheme="minorHAnsi" w:cstheme="minorHAnsi"/>
          <w:b/>
          <w:color w:val="000000" w:themeColor="text1"/>
        </w:rPr>
        <w:t>manière exclusive</w:t>
      </w:r>
      <w:r w:rsidRPr="003F1B17">
        <w:rPr>
          <w:rFonts w:asciiTheme="minorHAnsi" w:hAnsiTheme="minorHAnsi" w:cstheme="minorHAnsi"/>
          <w:color w:val="000000" w:themeColor="text1"/>
        </w:rPr>
        <w:t xml:space="preserve"> </w:t>
      </w:r>
      <w:r w:rsidRPr="003F1B17">
        <w:rPr>
          <w:rFonts w:asciiTheme="minorHAnsi" w:hAnsiTheme="minorHAnsi" w:cstheme="minorHAnsi"/>
          <w:b/>
          <w:color w:val="000000" w:themeColor="text1"/>
        </w:rPr>
        <w:t>ou conjointe</w:t>
      </w:r>
      <w:r w:rsidRPr="003F1B17">
        <w:rPr>
          <w:rFonts w:asciiTheme="minorHAnsi" w:hAnsiTheme="minorHAnsi" w:cstheme="minorHAnsi"/>
          <w:color w:val="000000" w:themeColor="text1"/>
        </w:rPr>
        <w:t xml:space="preserve"> une ou plusieurs autres entreprises. Désormais, l'influence notable n'est plus un critère pris en compte pour déterminer si une société commerciale a l'obligation d’établir des comptes consolidés.</w:t>
      </w:r>
    </w:p>
    <w:p w14:paraId="21CD5769" w14:textId="77777777" w:rsidR="00644DE9" w:rsidRPr="003F1B17" w:rsidRDefault="00644DE9" w:rsidP="00644DE9">
      <w:pPr>
        <w:spacing w:after="240"/>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Ainsi, les groupes constitués de sociétés sur lesquelles n'est exercée qu'une influence notable ne seront donc plus soumis à l'obligation d'établir et de publier des comptes consolidés. </w:t>
      </w:r>
    </w:p>
    <w:p w14:paraId="5D9F1209" w14:textId="28D20BFF" w:rsidR="00644DE9" w:rsidRDefault="00644DE9" w:rsidP="00644DE9">
      <w:pPr>
        <w:spacing w:after="240"/>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Toutefois, les groupes soumis à l’obligation d’établir des comptes consolidés doivent les inclure dans le périmètre des comptes consolidés (article 233-17-2 du code de commerce). </w:t>
      </w:r>
    </w:p>
    <w:p w14:paraId="1D22ED29" w14:textId="77777777" w:rsidR="00364FBB" w:rsidRPr="003F1B17" w:rsidRDefault="00364FBB" w:rsidP="00644DE9">
      <w:pPr>
        <w:spacing w:after="240"/>
        <w:jc w:val="both"/>
        <w:rPr>
          <w:rFonts w:asciiTheme="minorHAnsi" w:hAnsiTheme="minorHAnsi" w:cstheme="minorHAnsi"/>
          <w:color w:val="000000" w:themeColor="text1"/>
        </w:rPr>
      </w:pPr>
    </w:p>
    <w:p w14:paraId="3C15A960" w14:textId="618885FB" w:rsidR="00B4527B" w:rsidRPr="00B4527B" w:rsidRDefault="00644DE9" w:rsidP="00B4527B">
      <w:pPr>
        <w:pStyle w:val="Titre3"/>
        <w:rPr>
          <w:rFonts w:ascii="Calibri" w:hAnsi="Calibri" w:cs="Calibri"/>
          <w:b/>
          <w:color w:val="auto"/>
          <w:sz w:val="22"/>
          <w:szCs w:val="22"/>
          <w:u w:val="single"/>
        </w:rPr>
      </w:pPr>
      <w:bookmarkStart w:id="14" w:name="_Toc471757700"/>
      <w:r w:rsidRPr="00B4527B">
        <w:rPr>
          <w:rFonts w:ascii="Calibri" w:hAnsi="Calibri" w:cs="Calibri"/>
          <w:b/>
          <w:color w:val="auto"/>
          <w:sz w:val="22"/>
          <w:szCs w:val="22"/>
          <w:u w:val="single"/>
        </w:rPr>
        <w:t>Les exemptions à l’obligation d’établir et de publier des comptes consolidés</w:t>
      </w:r>
      <w:bookmarkEnd w:id="14"/>
      <w:r w:rsidRPr="00B4527B">
        <w:rPr>
          <w:rFonts w:ascii="Calibri" w:hAnsi="Calibri" w:cs="Calibri"/>
          <w:b/>
          <w:color w:val="auto"/>
          <w:sz w:val="22"/>
          <w:szCs w:val="22"/>
          <w:u w:val="single"/>
        </w:rPr>
        <w:t xml:space="preserve">  </w:t>
      </w:r>
    </w:p>
    <w:p w14:paraId="476BB249" w14:textId="77777777" w:rsidR="00B4527B" w:rsidRDefault="00B4527B" w:rsidP="00B4527B">
      <w:pPr>
        <w:jc w:val="both"/>
        <w:rPr>
          <w:rFonts w:asciiTheme="minorHAnsi" w:hAnsiTheme="minorHAnsi" w:cstheme="minorHAnsi"/>
          <w:color w:val="000000" w:themeColor="text1"/>
          <w:u w:val="single"/>
        </w:rPr>
      </w:pPr>
    </w:p>
    <w:p w14:paraId="6F6739E3" w14:textId="122242DC" w:rsidR="00644DE9" w:rsidRPr="003F1B17" w:rsidRDefault="00644DE9" w:rsidP="00644DE9">
      <w:pPr>
        <w:spacing w:after="240"/>
        <w:jc w:val="both"/>
        <w:rPr>
          <w:rFonts w:asciiTheme="minorHAnsi" w:hAnsiTheme="minorHAnsi" w:cstheme="minorHAnsi"/>
          <w:color w:val="000000" w:themeColor="text1"/>
          <w:u w:val="single"/>
        </w:rPr>
      </w:pPr>
      <w:r w:rsidRPr="003F1B17">
        <w:rPr>
          <w:rFonts w:asciiTheme="minorHAnsi" w:hAnsiTheme="minorHAnsi" w:cstheme="minorHAnsi"/>
          <w:color w:val="000000" w:themeColor="text1"/>
          <w:u w:val="single"/>
        </w:rPr>
        <w:t>Critère de taille</w:t>
      </w:r>
    </w:p>
    <w:p w14:paraId="6624ACC7" w14:textId="77777777" w:rsidR="00644DE9" w:rsidRPr="003F1B17" w:rsidRDefault="00644DE9" w:rsidP="00644DE9">
      <w:pPr>
        <w:spacing w:after="240"/>
        <w:jc w:val="both"/>
        <w:rPr>
          <w:rFonts w:asciiTheme="minorHAnsi" w:hAnsiTheme="minorHAnsi" w:cstheme="minorHAnsi"/>
          <w:color w:val="000000"/>
        </w:rPr>
      </w:pPr>
      <w:r w:rsidRPr="003F1B17">
        <w:rPr>
          <w:rFonts w:asciiTheme="minorHAnsi" w:hAnsiTheme="minorHAnsi" w:cstheme="minorHAnsi"/>
          <w:color w:val="000000" w:themeColor="text1"/>
        </w:rPr>
        <w:t>Les groupes sont exemptés de l’obligation d’établir et de publier des comptes consolidés s’ils ne</w:t>
      </w:r>
      <w:r w:rsidRPr="003F1B17">
        <w:rPr>
          <w:rFonts w:asciiTheme="minorHAnsi" w:hAnsiTheme="minorHAnsi" w:cstheme="minorHAnsi"/>
          <w:b/>
          <w:color w:val="000000"/>
        </w:rPr>
        <w:t xml:space="preserve"> dépassent pas</w:t>
      </w:r>
      <w:r w:rsidRPr="003F1B17">
        <w:rPr>
          <w:rFonts w:asciiTheme="minorHAnsi" w:hAnsiTheme="minorHAnsi" w:cstheme="minorHAnsi"/>
          <w:b/>
        </w:rPr>
        <w:t xml:space="preserve"> 2 des 3 critères suivants pendant 2 exercices successifs</w:t>
      </w:r>
      <w:r w:rsidRPr="003F1B17">
        <w:rPr>
          <w:rFonts w:asciiTheme="minorHAnsi" w:hAnsiTheme="minorHAnsi" w:cstheme="minorHAnsi"/>
        </w:rPr>
        <w:t xml:space="preserve"> sur la base des derniers comptes annuels arrêtés. </w:t>
      </w:r>
      <w:r w:rsidRPr="003F1B17">
        <w:rPr>
          <w:rFonts w:asciiTheme="minorHAnsi" w:hAnsiTheme="minorHAnsi" w:cstheme="minorHAnsi"/>
          <w:color w:val="000000"/>
        </w:rPr>
        <w:t>Le calcul des critères se fait en tenant compte uniquement des sociétés sous contrôle exclusif ou conjoint.</w:t>
      </w:r>
    </w:p>
    <w:p w14:paraId="28053D1D" w14:textId="77777777" w:rsidR="00644DE9" w:rsidRPr="003F1B17" w:rsidRDefault="00644DE9" w:rsidP="00644DE9">
      <w:pPr>
        <w:jc w:val="both"/>
        <w:rPr>
          <w:rFonts w:asciiTheme="minorHAnsi" w:hAnsiTheme="minorHAnsi" w:cstheme="minorHAnsi"/>
          <w:color w:val="000000"/>
        </w:rPr>
      </w:pPr>
      <w:r w:rsidRPr="003F1B17">
        <w:rPr>
          <w:rFonts w:asciiTheme="minorHAnsi" w:hAnsiTheme="minorHAnsi" w:cstheme="minorHAnsi"/>
          <w:color w:val="000000"/>
        </w:rPr>
        <w:t xml:space="preserve">Ces nouveaux seuils sont fixés à l’article 2 du décret n°2015-903 du 23 juillet 2015 publié au Journal officiel du 24 juillet 2015. </w:t>
      </w:r>
    </w:p>
    <w:p w14:paraId="6C064DCF" w14:textId="77777777" w:rsidR="00644DE9" w:rsidRPr="003F1B17" w:rsidRDefault="00644DE9" w:rsidP="00644DE9">
      <w:pPr>
        <w:jc w:val="both"/>
        <w:rPr>
          <w:rFonts w:asciiTheme="minorHAnsi" w:hAnsiTheme="minorHAnsi" w:cstheme="minorHAnsi"/>
        </w:rPr>
      </w:pPr>
    </w:p>
    <w:tbl>
      <w:tblPr>
        <w:tblStyle w:val="Grilledutableau"/>
        <w:tblW w:w="0" w:type="auto"/>
        <w:jc w:val="center"/>
        <w:tblLook w:val="04A0" w:firstRow="1" w:lastRow="0" w:firstColumn="1" w:lastColumn="0" w:noHBand="0" w:noVBand="1"/>
      </w:tblPr>
      <w:tblGrid>
        <w:gridCol w:w="2268"/>
        <w:gridCol w:w="2551"/>
        <w:gridCol w:w="2694"/>
      </w:tblGrid>
      <w:tr w:rsidR="00644DE9" w:rsidRPr="003F1B17" w14:paraId="5C84F008" w14:textId="77777777" w:rsidTr="00FA102C">
        <w:trPr>
          <w:jc w:val="center"/>
        </w:trPr>
        <w:tc>
          <w:tcPr>
            <w:tcW w:w="2268" w:type="dxa"/>
          </w:tcPr>
          <w:p w14:paraId="48E3FAF4" w14:textId="77777777" w:rsidR="00644DE9" w:rsidRPr="003F1B17" w:rsidRDefault="00644DE9" w:rsidP="0051551C">
            <w:pPr>
              <w:jc w:val="both"/>
              <w:rPr>
                <w:rFonts w:asciiTheme="minorHAnsi" w:hAnsiTheme="minorHAnsi" w:cstheme="minorHAnsi"/>
                <w:b/>
                <w:color w:val="000000"/>
                <w:shd w:val="clear" w:color="auto" w:fill="EAFC81"/>
              </w:rPr>
            </w:pPr>
            <w:r w:rsidRPr="003F1B17">
              <w:rPr>
                <w:rFonts w:asciiTheme="minorHAnsi" w:hAnsiTheme="minorHAnsi" w:cstheme="minorHAnsi"/>
                <w:b/>
                <w:color w:val="000000"/>
              </w:rPr>
              <w:t xml:space="preserve">Critères </w:t>
            </w:r>
          </w:p>
        </w:tc>
        <w:tc>
          <w:tcPr>
            <w:tcW w:w="2551" w:type="dxa"/>
          </w:tcPr>
          <w:p w14:paraId="6D1F4D1C" w14:textId="77777777" w:rsidR="00644DE9" w:rsidRPr="003F1B17" w:rsidRDefault="00644DE9" w:rsidP="0051551C">
            <w:pPr>
              <w:jc w:val="both"/>
              <w:rPr>
                <w:rFonts w:asciiTheme="minorHAnsi" w:hAnsiTheme="minorHAnsi" w:cstheme="minorHAnsi"/>
                <w:b/>
                <w:color w:val="000000"/>
              </w:rPr>
            </w:pPr>
            <w:r w:rsidRPr="003F1B17">
              <w:rPr>
                <w:rFonts w:asciiTheme="minorHAnsi" w:hAnsiTheme="minorHAnsi" w:cstheme="minorHAnsi"/>
                <w:b/>
                <w:color w:val="000000"/>
              </w:rPr>
              <w:t xml:space="preserve">Exercice ouverts </w:t>
            </w:r>
          </w:p>
          <w:p w14:paraId="64DE2FA5" w14:textId="77777777" w:rsidR="00644DE9" w:rsidRPr="003F1B17" w:rsidRDefault="00644DE9" w:rsidP="0051551C">
            <w:pPr>
              <w:jc w:val="both"/>
              <w:rPr>
                <w:rFonts w:asciiTheme="minorHAnsi" w:hAnsiTheme="minorHAnsi" w:cstheme="minorHAnsi"/>
                <w:b/>
                <w:color w:val="000000"/>
              </w:rPr>
            </w:pPr>
            <w:r w:rsidRPr="003F1B17">
              <w:rPr>
                <w:rFonts w:asciiTheme="minorHAnsi" w:hAnsiTheme="minorHAnsi" w:cstheme="minorHAnsi"/>
                <w:b/>
                <w:color w:val="000000"/>
              </w:rPr>
              <w:t>jusqu’au 31/12/2015</w:t>
            </w:r>
          </w:p>
        </w:tc>
        <w:tc>
          <w:tcPr>
            <w:tcW w:w="2694" w:type="dxa"/>
          </w:tcPr>
          <w:p w14:paraId="3AD6AC2D" w14:textId="77777777" w:rsidR="00644DE9" w:rsidRPr="003F1B17" w:rsidRDefault="00644DE9" w:rsidP="0051551C">
            <w:pPr>
              <w:jc w:val="both"/>
              <w:rPr>
                <w:rFonts w:asciiTheme="minorHAnsi" w:hAnsiTheme="minorHAnsi" w:cstheme="minorHAnsi"/>
                <w:b/>
                <w:color w:val="000000"/>
              </w:rPr>
            </w:pPr>
            <w:r w:rsidRPr="003F1B17">
              <w:rPr>
                <w:rFonts w:asciiTheme="minorHAnsi" w:hAnsiTheme="minorHAnsi" w:cstheme="minorHAnsi"/>
                <w:b/>
                <w:color w:val="000000"/>
              </w:rPr>
              <w:t xml:space="preserve">Exercices ouverts </w:t>
            </w:r>
          </w:p>
          <w:p w14:paraId="58980F04" w14:textId="77777777" w:rsidR="00644DE9" w:rsidRPr="003F1B17" w:rsidRDefault="00644DE9" w:rsidP="0051551C">
            <w:pPr>
              <w:jc w:val="both"/>
              <w:rPr>
                <w:rFonts w:asciiTheme="minorHAnsi" w:hAnsiTheme="minorHAnsi" w:cstheme="minorHAnsi"/>
                <w:b/>
                <w:color w:val="000000"/>
              </w:rPr>
            </w:pPr>
            <w:r w:rsidRPr="003F1B17">
              <w:rPr>
                <w:rFonts w:asciiTheme="minorHAnsi" w:hAnsiTheme="minorHAnsi" w:cstheme="minorHAnsi"/>
                <w:b/>
                <w:color w:val="000000"/>
              </w:rPr>
              <w:t>à compter du 1/1/2016</w:t>
            </w:r>
          </w:p>
        </w:tc>
      </w:tr>
      <w:tr w:rsidR="00644DE9" w:rsidRPr="003F1B17" w14:paraId="760CBCC4" w14:textId="77777777" w:rsidTr="00FA102C">
        <w:trPr>
          <w:jc w:val="center"/>
        </w:trPr>
        <w:tc>
          <w:tcPr>
            <w:tcW w:w="2268" w:type="dxa"/>
          </w:tcPr>
          <w:p w14:paraId="72F94C1A" w14:textId="77777777" w:rsidR="00644DE9" w:rsidRPr="003F1B17" w:rsidRDefault="00644DE9" w:rsidP="0051551C">
            <w:pPr>
              <w:jc w:val="both"/>
              <w:rPr>
                <w:rFonts w:asciiTheme="minorHAnsi" w:hAnsiTheme="minorHAnsi" w:cstheme="minorHAnsi"/>
                <w:b/>
                <w:color w:val="000000"/>
                <w:shd w:val="clear" w:color="auto" w:fill="EAFC81"/>
              </w:rPr>
            </w:pPr>
            <w:r w:rsidRPr="003F1B17">
              <w:rPr>
                <w:rFonts w:asciiTheme="minorHAnsi" w:hAnsiTheme="minorHAnsi" w:cstheme="minorHAnsi"/>
                <w:b/>
                <w:color w:val="000000"/>
              </w:rPr>
              <w:t>Total bilan</w:t>
            </w:r>
            <w:r w:rsidRPr="003F1B17">
              <w:rPr>
                <w:rFonts w:asciiTheme="minorHAnsi" w:hAnsiTheme="minorHAnsi" w:cstheme="minorHAnsi"/>
                <w:b/>
                <w:color w:val="000000"/>
                <w:shd w:val="clear" w:color="auto" w:fill="EAFC81"/>
              </w:rPr>
              <w:t xml:space="preserve"> </w:t>
            </w:r>
          </w:p>
        </w:tc>
        <w:tc>
          <w:tcPr>
            <w:tcW w:w="2551" w:type="dxa"/>
          </w:tcPr>
          <w:p w14:paraId="60E9828C" w14:textId="77777777" w:rsidR="00644DE9" w:rsidRPr="003F1B17" w:rsidRDefault="00644DE9" w:rsidP="0051551C">
            <w:pPr>
              <w:jc w:val="both"/>
              <w:rPr>
                <w:rFonts w:asciiTheme="minorHAnsi" w:hAnsiTheme="minorHAnsi" w:cstheme="minorHAnsi"/>
                <w:color w:val="000000"/>
                <w:shd w:val="clear" w:color="auto" w:fill="EAFC81"/>
              </w:rPr>
            </w:pPr>
            <w:r w:rsidRPr="003F1B17">
              <w:rPr>
                <w:rFonts w:asciiTheme="minorHAnsi" w:hAnsiTheme="minorHAnsi" w:cstheme="minorHAnsi"/>
                <w:color w:val="000000"/>
              </w:rPr>
              <w:t>≤ 15 millions d’€</w:t>
            </w:r>
          </w:p>
        </w:tc>
        <w:tc>
          <w:tcPr>
            <w:tcW w:w="2694" w:type="dxa"/>
          </w:tcPr>
          <w:p w14:paraId="79420D7F" w14:textId="77777777" w:rsidR="00644DE9" w:rsidRPr="003F1B17" w:rsidRDefault="00644DE9" w:rsidP="0051551C">
            <w:pPr>
              <w:jc w:val="both"/>
              <w:rPr>
                <w:rFonts w:asciiTheme="minorHAnsi" w:hAnsiTheme="minorHAnsi" w:cstheme="minorHAnsi"/>
                <w:color w:val="000000"/>
                <w:shd w:val="clear" w:color="auto" w:fill="EAFC81"/>
              </w:rPr>
            </w:pPr>
            <w:r w:rsidRPr="003F1B17">
              <w:rPr>
                <w:rFonts w:asciiTheme="minorHAnsi" w:hAnsiTheme="minorHAnsi" w:cstheme="minorHAnsi"/>
                <w:color w:val="000000"/>
              </w:rPr>
              <w:t>≤ 24 millions d’€</w:t>
            </w:r>
          </w:p>
        </w:tc>
      </w:tr>
      <w:tr w:rsidR="00644DE9" w:rsidRPr="003F1B17" w14:paraId="0173E084" w14:textId="77777777" w:rsidTr="00FA102C">
        <w:trPr>
          <w:jc w:val="center"/>
        </w:trPr>
        <w:tc>
          <w:tcPr>
            <w:tcW w:w="2268" w:type="dxa"/>
          </w:tcPr>
          <w:p w14:paraId="61B2A050" w14:textId="77777777" w:rsidR="00644DE9" w:rsidRPr="003F1B17" w:rsidRDefault="00644DE9" w:rsidP="0051551C">
            <w:pPr>
              <w:jc w:val="both"/>
              <w:rPr>
                <w:rFonts w:asciiTheme="minorHAnsi" w:hAnsiTheme="minorHAnsi" w:cstheme="minorHAnsi"/>
                <w:b/>
                <w:color w:val="000000"/>
                <w:shd w:val="clear" w:color="auto" w:fill="EAFC81"/>
              </w:rPr>
            </w:pPr>
            <w:r w:rsidRPr="003F1B17">
              <w:rPr>
                <w:rFonts w:asciiTheme="minorHAnsi" w:hAnsiTheme="minorHAnsi" w:cstheme="minorHAnsi"/>
                <w:b/>
                <w:color w:val="000000"/>
              </w:rPr>
              <w:t>Montant CA net</w:t>
            </w:r>
          </w:p>
        </w:tc>
        <w:tc>
          <w:tcPr>
            <w:tcW w:w="2551" w:type="dxa"/>
          </w:tcPr>
          <w:p w14:paraId="1CBD19AC" w14:textId="77777777" w:rsidR="00644DE9" w:rsidRPr="003F1B17" w:rsidRDefault="00644DE9" w:rsidP="0051551C">
            <w:pPr>
              <w:jc w:val="both"/>
              <w:rPr>
                <w:rFonts w:asciiTheme="minorHAnsi" w:hAnsiTheme="minorHAnsi" w:cstheme="minorHAnsi"/>
                <w:color w:val="000000"/>
                <w:shd w:val="clear" w:color="auto" w:fill="EAFC81"/>
              </w:rPr>
            </w:pPr>
            <w:r w:rsidRPr="003F1B17">
              <w:rPr>
                <w:rFonts w:asciiTheme="minorHAnsi" w:hAnsiTheme="minorHAnsi" w:cstheme="minorHAnsi"/>
                <w:color w:val="000000"/>
              </w:rPr>
              <w:t>≤ 30 millions d’€</w:t>
            </w:r>
          </w:p>
        </w:tc>
        <w:tc>
          <w:tcPr>
            <w:tcW w:w="2694" w:type="dxa"/>
          </w:tcPr>
          <w:p w14:paraId="1D8E9196" w14:textId="77777777" w:rsidR="00644DE9" w:rsidRPr="003F1B17" w:rsidRDefault="00644DE9" w:rsidP="0051551C">
            <w:pPr>
              <w:jc w:val="both"/>
              <w:rPr>
                <w:rFonts w:asciiTheme="minorHAnsi" w:hAnsiTheme="minorHAnsi" w:cstheme="minorHAnsi"/>
                <w:color w:val="000000"/>
                <w:shd w:val="clear" w:color="auto" w:fill="EAFC81"/>
              </w:rPr>
            </w:pPr>
            <w:r w:rsidRPr="003F1B17">
              <w:rPr>
                <w:rFonts w:asciiTheme="minorHAnsi" w:hAnsiTheme="minorHAnsi" w:cstheme="minorHAnsi"/>
                <w:color w:val="000000"/>
              </w:rPr>
              <w:t>≤ 48 millions d’€</w:t>
            </w:r>
          </w:p>
        </w:tc>
      </w:tr>
      <w:tr w:rsidR="00644DE9" w:rsidRPr="003F1B17" w14:paraId="7439E8AF" w14:textId="77777777" w:rsidTr="00FA102C">
        <w:trPr>
          <w:jc w:val="center"/>
        </w:trPr>
        <w:tc>
          <w:tcPr>
            <w:tcW w:w="2268" w:type="dxa"/>
          </w:tcPr>
          <w:p w14:paraId="5578E432" w14:textId="77777777" w:rsidR="00644DE9" w:rsidRPr="003F1B17" w:rsidRDefault="00644DE9" w:rsidP="0051551C">
            <w:pPr>
              <w:jc w:val="both"/>
              <w:rPr>
                <w:rFonts w:asciiTheme="minorHAnsi" w:hAnsiTheme="minorHAnsi" w:cstheme="minorHAnsi"/>
                <w:b/>
                <w:color w:val="000000"/>
                <w:shd w:val="clear" w:color="auto" w:fill="EAFC81"/>
              </w:rPr>
            </w:pPr>
            <w:r w:rsidRPr="003F1B17">
              <w:rPr>
                <w:rFonts w:asciiTheme="minorHAnsi" w:hAnsiTheme="minorHAnsi" w:cstheme="minorHAnsi"/>
                <w:b/>
                <w:color w:val="000000"/>
              </w:rPr>
              <w:t>Nombre de salariés</w:t>
            </w:r>
          </w:p>
        </w:tc>
        <w:tc>
          <w:tcPr>
            <w:tcW w:w="2551" w:type="dxa"/>
          </w:tcPr>
          <w:p w14:paraId="19D72D81" w14:textId="77777777" w:rsidR="00644DE9" w:rsidRPr="003F1B17" w:rsidRDefault="00644DE9" w:rsidP="0051551C">
            <w:pPr>
              <w:jc w:val="both"/>
              <w:rPr>
                <w:rFonts w:asciiTheme="minorHAnsi" w:hAnsiTheme="minorHAnsi" w:cstheme="minorHAnsi"/>
                <w:color w:val="000000"/>
                <w:shd w:val="clear" w:color="auto" w:fill="EAFC81"/>
              </w:rPr>
            </w:pPr>
            <w:r w:rsidRPr="003F1B17">
              <w:rPr>
                <w:rFonts w:asciiTheme="minorHAnsi" w:hAnsiTheme="minorHAnsi" w:cstheme="minorHAnsi"/>
                <w:color w:val="000000"/>
              </w:rPr>
              <w:t>≤ 250</w:t>
            </w:r>
          </w:p>
        </w:tc>
        <w:tc>
          <w:tcPr>
            <w:tcW w:w="2694" w:type="dxa"/>
          </w:tcPr>
          <w:p w14:paraId="6EF97CE9" w14:textId="77777777" w:rsidR="00644DE9" w:rsidRPr="003F1B17" w:rsidRDefault="00644DE9" w:rsidP="0051551C">
            <w:pPr>
              <w:jc w:val="both"/>
              <w:rPr>
                <w:rFonts w:asciiTheme="minorHAnsi" w:hAnsiTheme="minorHAnsi" w:cstheme="minorHAnsi"/>
                <w:color w:val="000000"/>
                <w:shd w:val="clear" w:color="auto" w:fill="EAFC81"/>
              </w:rPr>
            </w:pPr>
            <w:r w:rsidRPr="003F1B17">
              <w:rPr>
                <w:rFonts w:asciiTheme="minorHAnsi" w:hAnsiTheme="minorHAnsi" w:cstheme="minorHAnsi"/>
                <w:color w:val="000000"/>
              </w:rPr>
              <w:t xml:space="preserve">≤ 250 </w:t>
            </w:r>
          </w:p>
        </w:tc>
      </w:tr>
    </w:tbl>
    <w:p w14:paraId="6CA06D18" w14:textId="77777777" w:rsidR="00644DE9" w:rsidRPr="003F1B17" w:rsidRDefault="00644DE9" w:rsidP="00644DE9">
      <w:pPr>
        <w:jc w:val="both"/>
        <w:rPr>
          <w:rFonts w:asciiTheme="minorHAnsi" w:hAnsiTheme="minorHAnsi" w:cstheme="minorHAnsi"/>
          <w:color w:val="000000"/>
        </w:rPr>
      </w:pPr>
    </w:p>
    <w:p w14:paraId="205E00A0" w14:textId="77777777" w:rsidR="00364FBB" w:rsidRDefault="00644DE9" w:rsidP="00644DE9">
      <w:pPr>
        <w:spacing w:after="240"/>
        <w:jc w:val="both"/>
        <w:rPr>
          <w:rFonts w:asciiTheme="minorHAnsi" w:hAnsiTheme="minorHAnsi" w:cstheme="minorHAnsi"/>
          <w:color w:val="000000" w:themeColor="text1"/>
          <w:u w:val="single"/>
        </w:rPr>
      </w:pPr>
      <w:r w:rsidRPr="003F1B17">
        <w:rPr>
          <w:rFonts w:asciiTheme="minorHAnsi" w:hAnsiTheme="minorHAnsi" w:cstheme="minorHAnsi"/>
          <w:color w:val="000000"/>
        </w:rPr>
        <w:t>Cette exemption n’est pas applicable, si l’entreprise contrôlée (quelle que soit sa taille) est une société dont les titres sont admis à la négociation sur un marché réglementé, une banque ou une société de financement, une société d’assurance, une entité faisant appel à la générosité publique (article 123-16-2 du code de commerce).</w:t>
      </w:r>
      <w:r w:rsidR="004362B4">
        <w:rPr>
          <w:rFonts w:asciiTheme="minorHAnsi" w:hAnsiTheme="minorHAnsi" w:cstheme="minorHAnsi"/>
          <w:color w:val="000000" w:themeColor="text1"/>
          <w:u w:val="single"/>
        </w:rPr>
        <w:br w:type="page"/>
      </w:r>
    </w:p>
    <w:p w14:paraId="14BE9533" w14:textId="77777777" w:rsidR="00ED489C" w:rsidRDefault="00ED489C" w:rsidP="00644DE9">
      <w:pPr>
        <w:spacing w:after="240"/>
        <w:jc w:val="both"/>
        <w:rPr>
          <w:rFonts w:asciiTheme="minorHAnsi" w:hAnsiTheme="minorHAnsi" w:cstheme="minorHAnsi"/>
          <w:color w:val="000000" w:themeColor="text1"/>
          <w:u w:val="single"/>
        </w:rPr>
      </w:pPr>
    </w:p>
    <w:p w14:paraId="723C133D" w14:textId="5922525D" w:rsidR="00644DE9" w:rsidRPr="00364FBB" w:rsidRDefault="00364FBB" w:rsidP="00644DE9">
      <w:pPr>
        <w:spacing w:after="240"/>
        <w:jc w:val="both"/>
        <w:rPr>
          <w:rFonts w:asciiTheme="minorHAnsi" w:hAnsiTheme="minorHAnsi" w:cstheme="minorHAnsi"/>
          <w:color w:val="000000"/>
        </w:rPr>
      </w:pPr>
      <w:r>
        <w:rPr>
          <w:rFonts w:asciiTheme="minorHAnsi" w:hAnsiTheme="minorHAnsi" w:cstheme="minorHAnsi"/>
          <w:color w:val="000000" w:themeColor="text1"/>
          <w:u w:val="single"/>
        </w:rPr>
        <w:t>I</w:t>
      </w:r>
      <w:r w:rsidR="00644DE9" w:rsidRPr="003F1B17">
        <w:rPr>
          <w:rFonts w:asciiTheme="minorHAnsi" w:hAnsiTheme="minorHAnsi" w:cstheme="minorHAnsi"/>
          <w:color w:val="000000" w:themeColor="text1"/>
          <w:u w:val="single"/>
        </w:rPr>
        <w:t>ntérêt négligeable</w:t>
      </w:r>
    </w:p>
    <w:p w14:paraId="05BB0E4A" w14:textId="5FB6E795" w:rsidR="00644DE9" w:rsidRPr="003F1B17" w:rsidRDefault="00644DE9" w:rsidP="00644DE9">
      <w:pPr>
        <w:spacing w:after="240"/>
        <w:jc w:val="both"/>
        <w:rPr>
          <w:rFonts w:asciiTheme="minorHAnsi" w:hAnsiTheme="minorHAnsi" w:cstheme="minorHAnsi"/>
          <w:b/>
          <w:color w:val="000000"/>
        </w:rPr>
      </w:pPr>
      <w:r w:rsidRPr="003F1B17">
        <w:rPr>
          <w:rFonts w:asciiTheme="minorHAnsi" w:hAnsiTheme="minorHAnsi" w:cstheme="minorHAnsi"/>
          <w:color w:val="000000"/>
        </w:rPr>
        <w:t xml:space="preserve">Sous réserve de le justifier dans l’annexe, les sociétés </w:t>
      </w:r>
      <w:r w:rsidRPr="003F1B17">
        <w:rPr>
          <w:rFonts w:asciiTheme="minorHAnsi" w:hAnsiTheme="minorHAnsi" w:cstheme="minorHAnsi"/>
          <w:b/>
          <w:color w:val="000000"/>
        </w:rPr>
        <w:t>qui contrôlent des filiales représentant tant individuellement que collectivement</w:t>
      </w:r>
      <w:r w:rsidR="00C70A36">
        <w:rPr>
          <w:rFonts w:asciiTheme="minorHAnsi" w:hAnsiTheme="minorHAnsi" w:cstheme="minorHAnsi"/>
          <w:b/>
          <w:color w:val="000000"/>
        </w:rPr>
        <w:t>,</w:t>
      </w:r>
      <w:r w:rsidRPr="003F1B17">
        <w:rPr>
          <w:rFonts w:asciiTheme="minorHAnsi" w:hAnsiTheme="minorHAnsi" w:cstheme="minorHAnsi"/>
          <w:b/>
          <w:color w:val="000000"/>
        </w:rPr>
        <w:t xml:space="preserve"> un intérêt négligeable au regard de l’image fidèle</w:t>
      </w:r>
      <w:r w:rsidRPr="003F1B17">
        <w:rPr>
          <w:rFonts w:asciiTheme="minorHAnsi" w:hAnsiTheme="minorHAnsi" w:cstheme="minorHAnsi"/>
          <w:color w:val="000000"/>
        </w:rPr>
        <w:t>, sont exemptées d’établir des comptes consolidés. Pour les comptes des exercices ouverts à compter du 1</w:t>
      </w:r>
      <w:r w:rsidRPr="003F1B17">
        <w:rPr>
          <w:rFonts w:asciiTheme="minorHAnsi" w:hAnsiTheme="minorHAnsi" w:cstheme="minorHAnsi"/>
          <w:color w:val="000000"/>
          <w:vertAlign w:val="superscript"/>
        </w:rPr>
        <w:t>er</w:t>
      </w:r>
      <w:r w:rsidRPr="003F1B17">
        <w:rPr>
          <w:rFonts w:asciiTheme="minorHAnsi" w:hAnsiTheme="minorHAnsi" w:cstheme="minorHAnsi"/>
          <w:color w:val="000000"/>
        </w:rPr>
        <w:t xml:space="preserve"> janvier 2016, les participations sur lesquelles la société exerce </w:t>
      </w:r>
      <w:r w:rsidRPr="003F1B17">
        <w:rPr>
          <w:rFonts w:asciiTheme="minorHAnsi" w:hAnsiTheme="minorHAnsi" w:cstheme="minorHAnsi"/>
          <w:b/>
          <w:color w:val="000000"/>
        </w:rPr>
        <w:t xml:space="preserve">une influence notable ne sont pas retenues pour en apprécier le caractère négligeable. </w:t>
      </w:r>
    </w:p>
    <w:p w14:paraId="39EB0297" w14:textId="16DF5C5F" w:rsidR="007C3CE9" w:rsidRPr="007C3CE9" w:rsidRDefault="00644DE9" w:rsidP="007C3CE9">
      <w:pPr>
        <w:spacing w:after="240"/>
        <w:jc w:val="both"/>
        <w:rPr>
          <w:rFonts w:asciiTheme="minorHAnsi" w:hAnsiTheme="minorHAnsi" w:cstheme="minorHAnsi"/>
          <w:color w:val="000000" w:themeColor="text1"/>
          <w:u w:val="single"/>
        </w:rPr>
      </w:pPr>
      <w:r w:rsidRPr="003F1B17">
        <w:rPr>
          <w:rFonts w:asciiTheme="minorHAnsi" w:hAnsiTheme="minorHAnsi" w:cstheme="minorHAnsi"/>
          <w:color w:val="000000" w:themeColor="text1"/>
          <w:u w:val="single"/>
        </w:rPr>
        <w:t>Autres exemptions</w:t>
      </w:r>
    </w:p>
    <w:p w14:paraId="4A3B98BB" w14:textId="292EC4FF" w:rsidR="00207850" w:rsidRPr="00207850" w:rsidRDefault="00DE7328" w:rsidP="006373B9">
      <w:pPr>
        <w:spacing w:before="100" w:beforeAutospacing="1"/>
        <w:jc w:val="both"/>
        <w:rPr>
          <w:rFonts w:asciiTheme="minorHAnsi" w:hAnsiTheme="minorHAnsi" w:cstheme="minorHAnsi"/>
          <w:color w:val="000000"/>
        </w:rPr>
      </w:pPr>
      <w:r w:rsidRPr="006373B9">
        <w:rPr>
          <w:rFonts w:asciiTheme="minorHAnsi" w:hAnsiTheme="minorHAnsi" w:cstheme="minorHAnsi"/>
          <w:b/>
          <w:color w:val="000000"/>
        </w:rPr>
        <w:t>Une société qui ne contrôle</w:t>
      </w:r>
      <w:r w:rsidR="00207850" w:rsidRPr="006373B9">
        <w:rPr>
          <w:rFonts w:asciiTheme="minorHAnsi" w:hAnsiTheme="minorHAnsi" w:cstheme="minorHAnsi"/>
          <w:b/>
          <w:color w:val="000000"/>
        </w:rPr>
        <w:t xml:space="preserve"> </w:t>
      </w:r>
      <w:r w:rsidR="00207850" w:rsidRPr="00207850">
        <w:rPr>
          <w:rFonts w:asciiTheme="minorHAnsi" w:hAnsiTheme="minorHAnsi" w:cstheme="minorHAnsi"/>
          <w:b/>
          <w:color w:val="000000"/>
        </w:rPr>
        <w:t xml:space="preserve">de </w:t>
      </w:r>
      <w:r w:rsidR="00207850" w:rsidRPr="006373B9">
        <w:rPr>
          <w:rFonts w:asciiTheme="minorHAnsi" w:hAnsiTheme="minorHAnsi" w:cstheme="minorHAnsi"/>
          <w:b/>
          <w:color w:val="000000"/>
        </w:rPr>
        <w:t>ma</w:t>
      </w:r>
      <w:r w:rsidR="00207850" w:rsidRPr="00207850">
        <w:rPr>
          <w:rFonts w:asciiTheme="minorHAnsi" w:hAnsiTheme="minorHAnsi" w:cstheme="minorHAnsi"/>
          <w:b/>
          <w:color w:val="000000"/>
        </w:rPr>
        <w:t>nière exclusive ou conjointe</w:t>
      </w:r>
      <w:r w:rsidR="00207850">
        <w:rPr>
          <w:rFonts w:asciiTheme="minorHAnsi" w:hAnsiTheme="minorHAnsi" w:cstheme="minorHAnsi"/>
          <w:color w:val="000000"/>
        </w:rPr>
        <w:t xml:space="preserve"> </w:t>
      </w:r>
      <w:r w:rsidR="00207850" w:rsidRPr="00207850">
        <w:rPr>
          <w:rFonts w:asciiTheme="minorHAnsi" w:hAnsiTheme="minorHAnsi" w:cstheme="minorHAnsi"/>
          <w:color w:val="000000"/>
        </w:rPr>
        <w:t xml:space="preserve">que des entreprises </w:t>
      </w:r>
      <w:r w:rsidR="006373B9">
        <w:rPr>
          <w:rFonts w:asciiTheme="minorHAnsi" w:hAnsiTheme="minorHAnsi" w:cstheme="minorHAnsi"/>
          <w:color w:val="000000"/>
        </w:rPr>
        <w:t>pouvant</w:t>
      </w:r>
      <w:r w:rsidR="00207850" w:rsidRPr="00207850">
        <w:rPr>
          <w:rFonts w:asciiTheme="minorHAnsi" w:hAnsiTheme="minorHAnsi" w:cstheme="minorHAnsi"/>
          <w:color w:val="000000"/>
        </w:rPr>
        <w:t xml:space="preserve"> être exclues de la consolidatio</w:t>
      </w:r>
      <w:r w:rsidR="00207850">
        <w:rPr>
          <w:rFonts w:asciiTheme="minorHAnsi" w:hAnsiTheme="minorHAnsi" w:cstheme="minorHAnsi"/>
          <w:color w:val="000000"/>
        </w:rPr>
        <w:t>n</w:t>
      </w:r>
      <w:r w:rsidR="006373B9">
        <w:rPr>
          <w:rFonts w:asciiTheme="minorHAnsi" w:hAnsiTheme="minorHAnsi" w:cstheme="minorHAnsi"/>
          <w:color w:val="000000"/>
        </w:rPr>
        <w:t>,</w:t>
      </w:r>
      <w:r w:rsidR="00207850">
        <w:rPr>
          <w:rFonts w:asciiTheme="minorHAnsi" w:hAnsiTheme="minorHAnsi" w:cstheme="minorHAnsi"/>
          <w:color w:val="000000"/>
        </w:rPr>
        <w:t xml:space="preserve"> </w:t>
      </w:r>
      <w:r>
        <w:rPr>
          <w:rFonts w:asciiTheme="minorHAnsi" w:hAnsiTheme="minorHAnsi" w:cstheme="minorHAnsi"/>
          <w:color w:val="000000"/>
        </w:rPr>
        <w:t>est exemptée</w:t>
      </w:r>
      <w:r w:rsidR="00207850">
        <w:rPr>
          <w:rFonts w:asciiTheme="minorHAnsi" w:hAnsiTheme="minorHAnsi" w:cstheme="minorHAnsi"/>
          <w:color w:val="000000"/>
        </w:rPr>
        <w:t xml:space="preserve"> de publier des comptes consolidés et d’établir un rapport de gestion du groupe pour les causes suivantes (</w:t>
      </w:r>
      <w:r w:rsidR="00207850" w:rsidRPr="007C3CE9">
        <w:rPr>
          <w:rFonts w:asciiTheme="minorHAnsi" w:hAnsiTheme="minorHAnsi" w:cstheme="minorHAnsi"/>
          <w:color w:val="000000"/>
        </w:rPr>
        <w:t>article</w:t>
      </w:r>
      <w:r w:rsidR="00207850">
        <w:rPr>
          <w:rFonts w:asciiTheme="minorHAnsi" w:hAnsiTheme="minorHAnsi" w:cstheme="minorHAnsi"/>
          <w:color w:val="000000"/>
        </w:rPr>
        <w:t>s</w:t>
      </w:r>
      <w:r w:rsidR="00207850" w:rsidRPr="007C3CE9">
        <w:rPr>
          <w:rFonts w:asciiTheme="minorHAnsi" w:hAnsiTheme="minorHAnsi" w:cstheme="minorHAnsi"/>
          <w:color w:val="000000"/>
        </w:rPr>
        <w:t xml:space="preserve"> </w:t>
      </w:r>
      <w:r w:rsidR="00207850">
        <w:rPr>
          <w:rFonts w:asciiTheme="minorHAnsi" w:hAnsiTheme="minorHAnsi" w:cstheme="minorHAnsi"/>
          <w:color w:val="000000"/>
        </w:rPr>
        <w:t xml:space="preserve">L.233-17 et </w:t>
      </w:r>
      <w:r w:rsidR="00207850" w:rsidRPr="007C3CE9">
        <w:rPr>
          <w:rFonts w:asciiTheme="minorHAnsi" w:hAnsiTheme="minorHAnsi" w:cstheme="minorHAnsi"/>
          <w:color w:val="000000"/>
        </w:rPr>
        <w:t>L. 233-19 du cod</w:t>
      </w:r>
      <w:r w:rsidR="00207850">
        <w:rPr>
          <w:rFonts w:asciiTheme="minorHAnsi" w:hAnsiTheme="minorHAnsi" w:cstheme="minorHAnsi"/>
          <w:color w:val="000000"/>
        </w:rPr>
        <w:t>e de commerce) :</w:t>
      </w:r>
    </w:p>
    <w:p w14:paraId="7458052A" w14:textId="1B3AD5B1" w:rsidR="00DE7328" w:rsidRDefault="006373B9" w:rsidP="006373B9">
      <w:pPr>
        <w:pStyle w:val="Paragraphedeliste"/>
        <w:numPr>
          <w:ilvl w:val="0"/>
          <w:numId w:val="1"/>
        </w:numPr>
        <w:jc w:val="both"/>
        <w:rPr>
          <w:rFonts w:asciiTheme="minorHAnsi" w:hAnsiTheme="minorHAnsi" w:cstheme="minorHAnsi"/>
          <w:color w:val="000000"/>
        </w:rPr>
      </w:pPr>
      <w:r>
        <w:rPr>
          <w:rFonts w:asciiTheme="minorHAnsi" w:hAnsiTheme="minorHAnsi" w:cstheme="minorHAnsi"/>
          <w:color w:val="000000"/>
        </w:rPr>
        <w:t>Existence de</w:t>
      </w:r>
      <w:r w:rsidR="00DE7328" w:rsidRPr="00DE7328">
        <w:rPr>
          <w:rFonts w:asciiTheme="minorHAnsi" w:hAnsiTheme="minorHAnsi" w:cstheme="minorHAnsi"/>
          <w:color w:val="000000"/>
        </w:rPr>
        <w:t xml:space="preserve"> restrict</w:t>
      </w:r>
      <w:r>
        <w:rPr>
          <w:rFonts w:asciiTheme="minorHAnsi" w:hAnsiTheme="minorHAnsi" w:cstheme="minorHAnsi"/>
          <w:color w:val="000000"/>
        </w:rPr>
        <w:t>ions sévères et durables remetta</w:t>
      </w:r>
      <w:r w:rsidR="00DE7328" w:rsidRPr="00DE7328">
        <w:rPr>
          <w:rFonts w:asciiTheme="minorHAnsi" w:hAnsiTheme="minorHAnsi" w:cstheme="minorHAnsi"/>
          <w:color w:val="000000"/>
        </w:rPr>
        <w:t xml:space="preserve">nt en cause substantiellement le </w:t>
      </w:r>
      <w:r w:rsidR="00DE7328">
        <w:rPr>
          <w:rFonts w:asciiTheme="minorHAnsi" w:hAnsiTheme="minorHAnsi" w:cstheme="minorHAnsi"/>
          <w:color w:val="000000"/>
        </w:rPr>
        <w:t xml:space="preserve">contrôle </w:t>
      </w:r>
      <w:r w:rsidR="00DE7328" w:rsidRPr="00DE7328">
        <w:rPr>
          <w:rFonts w:asciiTheme="minorHAnsi" w:hAnsiTheme="minorHAnsi" w:cstheme="minorHAnsi"/>
          <w:color w:val="000000"/>
        </w:rPr>
        <w:t>ou les possibilités de transfert de fonds par la filiale ou la participation</w:t>
      </w:r>
      <w:r w:rsidR="00DE7328">
        <w:rPr>
          <w:rFonts w:asciiTheme="minorHAnsi" w:hAnsiTheme="minorHAnsi" w:cstheme="minorHAnsi"/>
          <w:color w:val="000000"/>
        </w:rPr>
        <w:t> ;</w:t>
      </w:r>
    </w:p>
    <w:p w14:paraId="2A892842" w14:textId="7515AB72" w:rsidR="00644DE9" w:rsidRPr="00DE7328" w:rsidRDefault="00AD4932" w:rsidP="00DE7328">
      <w:pPr>
        <w:pStyle w:val="Paragraphedeliste"/>
        <w:numPr>
          <w:ilvl w:val="0"/>
          <w:numId w:val="1"/>
        </w:numPr>
        <w:jc w:val="both"/>
        <w:rPr>
          <w:rFonts w:asciiTheme="minorHAnsi" w:hAnsiTheme="minorHAnsi" w:cstheme="minorHAnsi"/>
          <w:color w:val="000000"/>
        </w:rPr>
      </w:pPr>
      <w:r>
        <w:rPr>
          <w:rFonts w:asciiTheme="minorHAnsi" w:hAnsiTheme="minorHAnsi" w:cstheme="minorHAnsi"/>
          <w:color w:val="000000"/>
        </w:rPr>
        <w:t>L</w:t>
      </w:r>
      <w:r w:rsidR="00644DE9" w:rsidRPr="00DE7328">
        <w:rPr>
          <w:rFonts w:asciiTheme="minorHAnsi" w:hAnsiTheme="minorHAnsi" w:cstheme="minorHAnsi"/>
          <w:color w:val="000000"/>
        </w:rPr>
        <w:t xml:space="preserve">es actions ou ses parts </w:t>
      </w:r>
      <w:r w:rsidR="006373B9">
        <w:rPr>
          <w:rFonts w:asciiTheme="minorHAnsi" w:hAnsiTheme="minorHAnsi" w:cstheme="minorHAnsi"/>
          <w:color w:val="000000"/>
        </w:rPr>
        <w:t>de la</w:t>
      </w:r>
      <w:r>
        <w:rPr>
          <w:rFonts w:asciiTheme="minorHAnsi" w:hAnsiTheme="minorHAnsi" w:cstheme="minorHAnsi"/>
          <w:color w:val="000000"/>
        </w:rPr>
        <w:t xml:space="preserve"> participation ou de la filiale</w:t>
      </w:r>
      <w:r w:rsidR="006373B9">
        <w:rPr>
          <w:rFonts w:asciiTheme="minorHAnsi" w:hAnsiTheme="minorHAnsi" w:cstheme="minorHAnsi"/>
          <w:color w:val="000000"/>
        </w:rPr>
        <w:t xml:space="preserve"> </w:t>
      </w:r>
      <w:r w:rsidR="00644DE9" w:rsidRPr="00DE7328">
        <w:rPr>
          <w:rFonts w:asciiTheme="minorHAnsi" w:hAnsiTheme="minorHAnsi" w:cstheme="minorHAnsi"/>
          <w:color w:val="000000"/>
        </w:rPr>
        <w:t>ne sont détenues qu'en vue de leur cession ultérieure ;</w:t>
      </w:r>
    </w:p>
    <w:p w14:paraId="6ADA3029" w14:textId="44EF8265" w:rsidR="00644DE9" w:rsidRPr="003F1B17" w:rsidRDefault="00AD4932" w:rsidP="00644DE9">
      <w:pPr>
        <w:pStyle w:val="Paragraphedeliste"/>
        <w:numPr>
          <w:ilvl w:val="0"/>
          <w:numId w:val="1"/>
        </w:numPr>
        <w:jc w:val="both"/>
        <w:rPr>
          <w:rFonts w:asciiTheme="minorHAnsi" w:hAnsiTheme="minorHAnsi" w:cstheme="minorHAnsi"/>
          <w:color w:val="000000"/>
        </w:rPr>
      </w:pPr>
      <w:r>
        <w:rPr>
          <w:rFonts w:asciiTheme="minorHAnsi" w:hAnsiTheme="minorHAnsi" w:cstheme="minorHAnsi"/>
          <w:color w:val="000000"/>
        </w:rPr>
        <w:t>L</w:t>
      </w:r>
      <w:r w:rsidR="006373B9">
        <w:rPr>
          <w:rFonts w:asciiTheme="minorHAnsi" w:hAnsiTheme="minorHAnsi" w:cstheme="minorHAnsi"/>
          <w:color w:val="000000"/>
        </w:rPr>
        <w:t>a participation ou la filiale</w:t>
      </w:r>
      <w:r w:rsidR="00644DE9" w:rsidRPr="003F1B17">
        <w:rPr>
          <w:rFonts w:asciiTheme="minorHAnsi" w:hAnsiTheme="minorHAnsi" w:cstheme="minorHAnsi"/>
          <w:color w:val="000000"/>
        </w:rPr>
        <w:t xml:space="preserve"> ne représente, seule ou avec d'autres, qu'un intérêt négligeable par rapport à l'objectif d’image fidèle ;</w:t>
      </w:r>
    </w:p>
    <w:p w14:paraId="4F7679F9" w14:textId="77777777" w:rsidR="00644DE9" w:rsidRPr="003F1B17" w:rsidRDefault="00644DE9" w:rsidP="00644DE9">
      <w:pPr>
        <w:pStyle w:val="Paragraphedeliste"/>
        <w:numPr>
          <w:ilvl w:val="0"/>
          <w:numId w:val="1"/>
        </w:numPr>
        <w:jc w:val="both"/>
        <w:rPr>
          <w:rFonts w:asciiTheme="minorHAnsi" w:hAnsiTheme="minorHAnsi" w:cstheme="minorHAnsi"/>
          <w:color w:val="000000"/>
        </w:rPr>
      </w:pPr>
      <w:r w:rsidRPr="003F1B17">
        <w:rPr>
          <w:rFonts w:asciiTheme="minorHAnsi" w:hAnsiTheme="minorHAnsi" w:cstheme="minorHAnsi"/>
          <w:color w:val="000000"/>
        </w:rPr>
        <w:t>Les informations nécessaires à l'établissement des comptes consolidés ne peuvent être obtenues sans frais excessifs ou dans des délais compatibles avec ceux qui sont fixés en application des dispositions de l'article L. 233-27 du code de commerce.</w:t>
      </w:r>
    </w:p>
    <w:p w14:paraId="0F3220A6" w14:textId="77777777" w:rsidR="00644DE9" w:rsidRPr="003F1B17" w:rsidRDefault="00644DE9" w:rsidP="00644DE9">
      <w:pPr>
        <w:spacing w:after="240"/>
        <w:jc w:val="both"/>
        <w:rPr>
          <w:rFonts w:asciiTheme="minorHAnsi" w:hAnsiTheme="minorHAnsi" w:cstheme="minorHAnsi"/>
          <w:b/>
          <w:color w:val="000000"/>
          <w:u w:val="single"/>
        </w:rPr>
      </w:pPr>
      <w:bookmarkStart w:id="15" w:name="403-5"/>
      <w:bookmarkEnd w:id="15"/>
    </w:p>
    <w:p w14:paraId="111B35F5" w14:textId="77777777" w:rsidR="00644DE9" w:rsidRPr="00B4527B" w:rsidRDefault="00644DE9" w:rsidP="00B4527B">
      <w:pPr>
        <w:pStyle w:val="Titre3"/>
        <w:rPr>
          <w:rFonts w:ascii="Calibri" w:hAnsi="Calibri" w:cs="Calibri"/>
          <w:b/>
          <w:color w:val="auto"/>
          <w:sz w:val="22"/>
          <w:szCs w:val="22"/>
          <w:u w:val="single"/>
        </w:rPr>
      </w:pPr>
      <w:bookmarkStart w:id="16" w:name="_Toc471757701"/>
      <w:r w:rsidRPr="00B4527B">
        <w:rPr>
          <w:rFonts w:ascii="Calibri" w:hAnsi="Calibri" w:cs="Calibri"/>
          <w:b/>
          <w:color w:val="auto"/>
          <w:sz w:val="22"/>
          <w:szCs w:val="22"/>
          <w:u w:val="single"/>
        </w:rPr>
        <w:t>La date d’établissement des comptes consolidés</w:t>
      </w:r>
      <w:bookmarkEnd w:id="16"/>
    </w:p>
    <w:p w14:paraId="2876964D" w14:textId="77777777" w:rsidR="00B4527B" w:rsidRDefault="00B4527B" w:rsidP="00644DE9">
      <w:pPr>
        <w:jc w:val="both"/>
        <w:rPr>
          <w:rFonts w:asciiTheme="minorHAnsi" w:hAnsiTheme="minorHAnsi" w:cstheme="minorHAnsi"/>
          <w:color w:val="000000"/>
        </w:rPr>
      </w:pPr>
    </w:p>
    <w:p w14:paraId="5BF1AD94" w14:textId="081F0103" w:rsidR="00644DE9" w:rsidRPr="003F1B17" w:rsidRDefault="00644DE9" w:rsidP="00644DE9">
      <w:pPr>
        <w:jc w:val="both"/>
        <w:rPr>
          <w:rFonts w:asciiTheme="minorHAnsi" w:hAnsiTheme="minorHAnsi" w:cstheme="minorHAnsi"/>
          <w:color w:val="000000"/>
        </w:rPr>
      </w:pPr>
      <w:r w:rsidRPr="003F1B17">
        <w:rPr>
          <w:rFonts w:asciiTheme="minorHAnsi" w:hAnsiTheme="minorHAnsi" w:cstheme="minorHAnsi"/>
          <w:color w:val="000000"/>
        </w:rPr>
        <w:t xml:space="preserve">L’ordonnance n°2015-900 du 23 juillet 2015 a modifié l’article L. 233-25 du code de commerce. </w:t>
      </w:r>
    </w:p>
    <w:p w14:paraId="619CDBBC" w14:textId="77777777" w:rsidR="00644DE9" w:rsidRPr="003F1B17" w:rsidRDefault="00644DE9" w:rsidP="00644DE9">
      <w:pPr>
        <w:jc w:val="both"/>
        <w:rPr>
          <w:rFonts w:asciiTheme="minorHAnsi" w:hAnsiTheme="minorHAnsi" w:cstheme="minorHAnsi"/>
          <w:color w:val="000000"/>
        </w:rPr>
      </w:pPr>
      <w:r w:rsidRPr="003F1B17">
        <w:rPr>
          <w:rFonts w:asciiTheme="minorHAnsi" w:hAnsiTheme="minorHAnsi" w:cstheme="minorHAnsi"/>
          <w:color w:val="000000"/>
        </w:rPr>
        <w:t xml:space="preserve">Sous réserve d’en justifier dans l’annexe, les comptes consolidés peuvent être établis à une </w:t>
      </w:r>
      <w:r w:rsidRPr="003F1B17">
        <w:rPr>
          <w:rFonts w:asciiTheme="minorHAnsi" w:hAnsiTheme="minorHAnsi" w:cstheme="minorHAnsi"/>
          <w:b/>
          <w:color w:val="000000"/>
        </w:rPr>
        <w:t>date différente</w:t>
      </w:r>
      <w:r w:rsidRPr="003F1B17">
        <w:rPr>
          <w:rFonts w:asciiTheme="minorHAnsi" w:hAnsiTheme="minorHAnsi" w:cstheme="minorHAnsi"/>
          <w:color w:val="000000"/>
        </w:rPr>
        <w:t xml:space="preserve"> de celle des comptes annuels de la société consolidante. Cette date est celle retenue </w:t>
      </w:r>
      <w:r w:rsidRPr="003F1B17">
        <w:rPr>
          <w:rFonts w:asciiTheme="minorHAnsi" w:hAnsiTheme="minorHAnsi" w:cstheme="minorHAnsi"/>
          <w:b/>
          <w:color w:val="000000"/>
        </w:rPr>
        <w:t>par la majorité des entreprises</w:t>
      </w:r>
      <w:r w:rsidRPr="003F1B17">
        <w:rPr>
          <w:rFonts w:asciiTheme="minorHAnsi" w:hAnsiTheme="minorHAnsi" w:cstheme="minorHAnsi"/>
          <w:color w:val="000000"/>
        </w:rPr>
        <w:t xml:space="preserve"> comprises dans la consolidation pour leurs compte sociaux.  </w:t>
      </w:r>
    </w:p>
    <w:p w14:paraId="59A69463" w14:textId="77777777" w:rsidR="00644DE9" w:rsidRPr="003F1B17" w:rsidRDefault="00644DE9" w:rsidP="00644DE9">
      <w:pPr>
        <w:jc w:val="both"/>
        <w:rPr>
          <w:rFonts w:asciiTheme="minorHAnsi" w:hAnsiTheme="minorHAnsi" w:cstheme="minorHAnsi"/>
          <w:color w:val="000000"/>
        </w:rPr>
      </w:pPr>
    </w:p>
    <w:p w14:paraId="669772AE" w14:textId="77777777" w:rsidR="00644DE9" w:rsidRPr="003F1B17" w:rsidRDefault="00644DE9" w:rsidP="00644DE9">
      <w:pPr>
        <w:pStyle w:val="NormalWeb"/>
        <w:spacing w:before="0" w:beforeAutospacing="0" w:after="0" w:afterAutospacing="0"/>
        <w:jc w:val="both"/>
        <w:rPr>
          <w:rFonts w:asciiTheme="minorHAnsi" w:hAnsiTheme="minorHAnsi" w:cstheme="minorHAnsi"/>
          <w:color w:val="000000"/>
          <w:sz w:val="22"/>
          <w:szCs w:val="22"/>
        </w:rPr>
      </w:pPr>
      <w:r w:rsidRPr="003F1B17">
        <w:rPr>
          <w:rFonts w:asciiTheme="minorHAnsi" w:hAnsiTheme="minorHAnsi" w:cstheme="minorHAnsi"/>
          <w:color w:val="000000"/>
          <w:sz w:val="22"/>
          <w:szCs w:val="22"/>
        </w:rPr>
        <w:t>Dans ce cas, il est tenu compte, pour l'établissement des comptes consolidés, des événements importants qui ont concerné l'actif ou le passif des entreprises comprises dans la consolidation et qui sont survenus entre la date de clôture de leur bilan et la date de clôture du bilan consolidé.</w:t>
      </w:r>
    </w:p>
    <w:p w14:paraId="5B175972" w14:textId="77777777" w:rsidR="00644DE9" w:rsidRPr="003F1B17" w:rsidRDefault="00644DE9" w:rsidP="00644DE9">
      <w:pPr>
        <w:jc w:val="both"/>
        <w:rPr>
          <w:rFonts w:asciiTheme="minorHAnsi" w:hAnsiTheme="minorHAnsi" w:cstheme="minorHAnsi"/>
          <w:color w:val="000000"/>
        </w:rPr>
      </w:pPr>
    </w:p>
    <w:p w14:paraId="29CF5B42" w14:textId="77777777" w:rsidR="00644DE9" w:rsidRPr="003F1B17" w:rsidRDefault="00644DE9" w:rsidP="00644DE9">
      <w:pPr>
        <w:jc w:val="both"/>
        <w:rPr>
          <w:rFonts w:asciiTheme="minorHAnsi" w:hAnsiTheme="minorHAnsi" w:cstheme="minorHAnsi"/>
          <w:color w:val="000000"/>
        </w:rPr>
      </w:pPr>
      <w:r w:rsidRPr="003F1B17">
        <w:rPr>
          <w:rFonts w:asciiTheme="minorHAnsi" w:hAnsiTheme="minorHAnsi" w:cstheme="minorHAnsi"/>
          <w:color w:val="000000"/>
        </w:rPr>
        <w:t xml:space="preserve">Désormais, il est possible de prendre dans la consolidation, les comptes d’une entreprise dont la date de clôture est antérieure ou </w:t>
      </w:r>
      <w:r w:rsidRPr="003F1B17">
        <w:rPr>
          <w:rFonts w:asciiTheme="minorHAnsi" w:hAnsiTheme="minorHAnsi" w:cstheme="minorHAnsi"/>
          <w:b/>
          <w:color w:val="000000"/>
        </w:rPr>
        <w:t>postérieure de plus de 3 mois</w:t>
      </w:r>
      <w:r w:rsidRPr="003F1B17">
        <w:rPr>
          <w:rFonts w:asciiTheme="minorHAnsi" w:hAnsiTheme="minorHAnsi" w:cstheme="minorHAnsi"/>
          <w:color w:val="000000"/>
        </w:rPr>
        <w:t xml:space="preserve"> à la date de clôture de l’exercice de consolidation. Dans ce cas, ils sont établis sur la base de comptes intérimaires contrôlés par un commissaire aux comptes ou par un professionnel chargé du contrôle des comptes. </w:t>
      </w:r>
    </w:p>
    <w:p w14:paraId="12ECBB96" w14:textId="58C55763" w:rsidR="00644DE9" w:rsidRDefault="00644DE9" w:rsidP="00644DE9">
      <w:pPr>
        <w:jc w:val="both"/>
        <w:rPr>
          <w:rFonts w:asciiTheme="minorHAnsi" w:hAnsiTheme="minorHAnsi" w:cstheme="minorHAnsi"/>
        </w:rPr>
      </w:pPr>
    </w:p>
    <w:p w14:paraId="25B648B5" w14:textId="77777777" w:rsidR="00364FBB" w:rsidRPr="003F1B17" w:rsidRDefault="00364FBB" w:rsidP="00644DE9">
      <w:pPr>
        <w:jc w:val="both"/>
        <w:rPr>
          <w:rFonts w:asciiTheme="minorHAnsi" w:hAnsiTheme="minorHAnsi" w:cstheme="minorHAnsi"/>
        </w:rPr>
      </w:pPr>
    </w:p>
    <w:p w14:paraId="1EE51D58" w14:textId="44F6B4C7" w:rsidR="00644DE9" w:rsidRPr="00B4527B" w:rsidRDefault="00B4527B" w:rsidP="00B4527B">
      <w:pPr>
        <w:pStyle w:val="Titre3"/>
        <w:rPr>
          <w:rFonts w:ascii="Calibri" w:hAnsi="Calibri" w:cs="Calibri"/>
          <w:b/>
          <w:color w:val="auto"/>
          <w:sz w:val="22"/>
          <w:szCs w:val="22"/>
          <w:u w:val="single"/>
        </w:rPr>
      </w:pPr>
      <w:bookmarkStart w:id="17" w:name="_Toc471757702"/>
      <w:r>
        <w:rPr>
          <w:rFonts w:ascii="Calibri" w:hAnsi="Calibri" w:cs="Calibri"/>
          <w:b/>
          <w:color w:val="auto"/>
          <w:sz w:val="22"/>
          <w:szCs w:val="22"/>
          <w:u w:val="single"/>
        </w:rPr>
        <w:t>Le traitement des écarts d’acquisition</w:t>
      </w:r>
      <w:r w:rsidR="00644DE9" w:rsidRPr="00B4527B">
        <w:rPr>
          <w:rFonts w:ascii="Calibri" w:hAnsi="Calibri" w:cs="Calibri"/>
          <w:b/>
          <w:color w:val="auto"/>
          <w:sz w:val="22"/>
          <w:szCs w:val="22"/>
          <w:u w:val="single"/>
        </w:rPr>
        <w:t>: amortissement et dépréciation</w:t>
      </w:r>
      <w:bookmarkEnd w:id="17"/>
    </w:p>
    <w:p w14:paraId="56A3871E" w14:textId="77777777" w:rsidR="00644DE9" w:rsidRPr="003F1B17" w:rsidRDefault="00644DE9" w:rsidP="00644DE9">
      <w:pPr>
        <w:jc w:val="both"/>
        <w:rPr>
          <w:rFonts w:asciiTheme="minorHAnsi" w:hAnsiTheme="minorHAnsi" w:cstheme="minorHAnsi"/>
        </w:rPr>
      </w:pPr>
    </w:p>
    <w:p w14:paraId="5A83750B" w14:textId="77777777" w:rsidR="00644DE9" w:rsidRPr="003F1B17" w:rsidRDefault="00644DE9" w:rsidP="00644DE9">
      <w:pPr>
        <w:jc w:val="both"/>
        <w:rPr>
          <w:rFonts w:asciiTheme="minorHAnsi" w:hAnsiTheme="minorHAnsi" w:cstheme="minorHAnsi"/>
          <w:color w:val="000000"/>
        </w:rPr>
      </w:pPr>
      <w:r w:rsidRPr="003F1B17">
        <w:rPr>
          <w:rFonts w:asciiTheme="minorHAnsi" w:hAnsiTheme="minorHAnsi" w:cstheme="minorHAnsi"/>
          <w:color w:val="000000"/>
        </w:rPr>
        <w:t xml:space="preserve">L’écart d’acquisition ou goodwill correspond à la différence entre le coût d’acquisition des titres et l’évaluation, à leur juste valeur, des actifs et passifs identifiés à la date d’acquisition. </w:t>
      </w:r>
    </w:p>
    <w:p w14:paraId="002E1D76" w14:textId="77777777" w:rsidR="00644DE9" w:rsidRPr="003F1B17" w:rsidRDefault="00644DE9" w:rsidP="00644DE9">
      <w:pPr>
        <w:jc w:val="both"/>
        <w:rPr>
          <w:rFonts w:asciiTheme="minorHAnsi" w:hAnsiTheme="minorHAnsi" w:cstheme="minorHAnsi"/>
          <w:color w:val="000000"/>
        </w:rPr>
      </w:pPr>
    </w:p>
    <w:p w14:paraId="042CF204" w14:textId="2B344C54" w:rsidR="00644DE9" w:rsidRPr="003F1B17" w:rsidRDefault="00644DE9" w:rsidP="00644DE9">
      <w:pPr>
        <w:jc w:val="both"/>
        <w:rPr>
          <w:rFonts w:asciiTheme="minorHAnsi" w:hAnsiTheme="minorHAnsi" w:cstheme="minorHAnsi"/>
          <w:color w:val="000000"/>
        </w:rPr>
      </w:pPr>
      <w:r w:rsidRPr="003F1B17">
        <w:rPr>
          <w:rFonts w:asciiTheme="minorHAnsi" w:hAnsiTheme="minorHAnsi" w:cstheme="minorHAnsi"/>
          <w:color w:val="000000"/>
        </w:rPr>
        <w:t xml:space="preserve">Seul le traitement comptable de l’écart d’acquisition positif a été modifié par le règlement ANC n°2015-07. Il est inscrit à un poste spécifique </w:t>
      </w:r>
      <w:r w:rsidR="00EF1A06">
        <w:rPr>
          <w:rFonts w:asciiTheme="minorHAnsi" w:hAnsiTheme="minorHAnsi" w:cstheme="minorHAnsi"/>
          <w:color w:val="000000"/>
        </w:rPr>
        <w:t xml:space="preserve">de l’actif du bilan consolidé. </w:t>
      </w:r>
      <w:r w:rsidRPr="003F1B17">
        <w:rPr>
          <w:rFonts w:asciiTheme="minorHAnsi" w:hAnsiTheme="minorHAnsi" w:cstheme="minorHAnsi"/>
          <w:color w:val="000000"/>
        </w:rPr>
        <w:t xml:space="preserve">Pour les exercices ouverts à compter du 1er janvier 2016, la possibilité d’imputer les écarts d’acquisition sur les capitaux propres a été supprimée du code de commerce. </w:t>
      </w:r>
    </w:p>
    <w:p w14:paraId="4B4D3522" w14:textId="77777777" w:rsidR="00644DE9" w:rsidRPr="003F1B17" w:rsidRDefault="00644DE9" w:rsidP="00644DE9">
      <w:pPr>
        <w:jc w:val="both"/>
        <w:rPr>
          <w:rFonts w:asciiTheme="minorHAnsi" w:hAnsiTheme="minorHAnsi" w:cstheme="minorHAnsi"/>
          <w:color w:val="000000"/>
        </w:rPr>
      </w:pPr>
    </w:p>
    <w:p w14:paraId="7DF1D51E" w14:textId="77777777" w:rsidR="00ED489C" w:rsidRDefault="00ED489C" w:rsidP="00644DE9">
      <w:pPr>
        <w:jc w:val="both"/>
        <w:rPr>
          <w:rFonts w:asciiTheme="minorHAnsi" w:hAnsiTheme="minorHAnsi" w:cstheme="minorHAnsi"/>
          <w:b/>
          <w:color w:val="000000"/>
        </w:rPr>
      </w:pPr>
    </w:p>
    <w:p w14:paraId="6BFC2B9B" w14:textId="5A0C8AE1" w:rsidR="00644DE9" w:rsidRPr="003F1B17" w:rsidRDefault="00644DE9" w:rsidP="00644DE9">
      <w:pPr>
        <w:jc w:val="both"/>
        <w:rPr>
          <w:rFonts w:asciiTheme="minorHAnsi" w:hAnsiTheme="minorHAnsi" w:cstheme="minorHAnsi"/>
          <w:color w:val="000000"/>
        </w:rPr>
      </w:pPr>
      <w:r w:rsidRPr="003F1B17">
        <w:rPr>
          <w:rFonts w:asciiTheme="minorHAnsi" w:hAnsiTheme="minorHAnsi" w:cstheme="minorHAnsi"/>
          <w:b/>
          <w:color w:val="000000"/>
        </w:rPr>
        <w:t>Auparavant</w:t>
      </w:r>
      <w:r w:rsidRPr="003F1B17">
        <w:rPr>
          <w:rFonts w:asciiTheme="minorHAnsi" w:hAnsiTheme="minorHAnsi" w:cstheme="minorHAnsi"/>
          <w:color w:val="000000"/>
        </w:rPr>
        <w:t>, « l'écart d'acquisition positif était inscrit à l'actif immobilisé et amorti sur une durée qui devait refléter, aussi raisonnablement que possible, les hypothèses retenues et les objectifs fixés et documentés lors de l'acquisition »</w:t>
      </w:r>
    </w:p>
    <w:p w14:paraId="147B9AF8" w14:textId="77777777" w:rsidR="00364FBB" w:rsidRDefault="00364FBB" w:rsidP="00644DE9">
      <w:pPr>
        <w:jc w:val="both"/>
        <w:rPr>
          <w:rFonts w:asciiTheme="minorHAnsi" w:hAnsiTheme="minorHAnsi" w:cstheme="minorHAnsi"/>
          <w:color w:val="000000"/>
        </w:rPr>
      </w:pPr>
    </w:p>
    <w:p w14:paraId="4421D397" w14:textId="5E94FB5A" w:rsidR="00644DE9" w:rsidRPr="003F1B17" w:rsidRDefault="00644DE9" w:rsidP="00644DE9">
      <w:pPr>
        <w:jc w:val="both"/>
        <w:rPr>
          <w:rFonts w:asciiTheme="minorHAnsi" w:hAnsiTheme="minorHAnsi" w:cstheme="minorHAnsi"/>
          <w:color w:val="000000"/>
        </w:rPr>
      </w:pPr>
      <w:r w:rsidRPr="003F1B17">
        <w:rPr>
          <w:rFonts w:asciiTheme="minorHAnsi" w:hAnsiTheme="minorHAnsi" w:cstheme="minorHAnsi"/>
          <w:color w:val="000000"/>
        </w:rPr>
        <w:t>Si des changements significatifs défavorables intervenaient sur des éléments ayant servi à déterminer le plan d’amortissement, alors un amortissement exceptionnel ou une modification du plan d’amortissement était effectué, toute dépréciation étant exclue.</w:t>
      </w:r>
    </w:p>
    <w:p w14:paraId="60BF327A" w14:textId="77777777" w:rsidR="00644DE9" w:rsidRPr="003F1B17" w:rsidRDefault="00644DE9" w:rsidP="00644DE9">
      <w:pPr>
        <w:jc w:val="both"/>
        <w:rPr>
          <w:rFonts w:asciiTheme="minorHAnsi" w:hAnsiTheme="minorHAnsi" w:cstheme="minorHAnsi"/>
          <w:color w:val="000000"/>
        </w:rPr>
      </w:pPr>
      <w:r w:rsidRPr="003F1B17">
        <w:rPr>
          <w:rFonts w:asciiTheme="minorHAnsi" w:hAnsiTheme="minorHAnsi" w:cstheme="minorHAnsi"/>
          <w:color w:val="000000"/>
        </w:rPr>
        <w:t xml:space="preserve">Si des changements significatifs favorables intervenaient ultérieurement, ceux-ci conduisaient à une modification du plan d’amortissement futur, à l’exclusion de toute reprise d’amortissement. </w:t>
      </w:r>
    </w:p>
    <w:p w14:paraId="22005E5E" w14:textId="77777777" w:rsidR="00644DE9" w:rsidRPr="003F1B17" w:rsidRDefault="00644DE9" w:rsidP="00644DE9">
      <w:pPr>
        <w:jc w:val="both"/>
        <w:rPr>
          <w:rFonts w:asciiTheme="minorHAnsi" w:hAnsiTheme="minorHAnsi" w:cstheme="minorHAnsi"/>
          <w:color w:val="000000"/>
        </w:rPr>
      </w:pPr>
    </w:p>
    <w:p w14:paraId="03311325" w14:textId="77777777" w:rsidR="00644DE9" w:rsidRPr="003F1B17" w:rsidRDefault="00644DE9" w:rsidP="00644DE9">
      <w:pPr>
        <w:jc w:val="both"/>
        <w:rPr>
          <w:rFonts w:asciiTheme="minorHAnsi" w:hAnsiTheme="minorHAnsi" w:cstheme="minorHAnsi"/>
          <w:b/>
          <w:color w:val="000000"/>
        </w:rPr>
      </w:pPr>
      <w:r w:rsidRPr="003F1B17">
        <w:rPr>
          <w:rFonts w:asciiTheme="minorHAnsi" w:hAnsiTheme="minorHAnsi" w:cstheme="minorHAnsi"/>
          <w:b/>
          <w:color w:val="000000"/>
        </w:rPr>
        <w:t xml:space="preserve">Désormais, l’amortissement de l’écart d’acquisition n’est plus systématique. </w:t>
      </w:r>
    </w:p>
    <w:p w14:paraId="0CB82180" w14:textId="77777777" w:rsidR="00644DE9" w:rsidRPr="003F1B17" w:rsidRDefault="00644DE9" w:rsidP="00644DE9">
      <w:pPr>
        <w:jc w:val="both"/>
        <w:rPr>
          <w:rFonts w:asciiTheme="minorHAnsi" w:hAnsiTheme="minorHAnsi" w:cstheme="minorHAnsi"/>
          <w:color w:val="000000"/>
        </w:rPr>
      </w:pPr>
    </w:p>
    <w:p w14:paraId="0EE9E1AE" w14:textId="77777777" w:rsidR="00644DE9" w:rsidRPr="003F1B17" w:rsidRDefault="00644DE9" w:rsidP="00644DE9">
      <w:pPr>
        <w:jc w:val="both"/>
        <w:rPr>
          <w:rFonts w:asciiTheme="minorHAnsi" w:hAnsiTheme="minorHAnsi" w:cstheme="minorHAnsi"/>
          <w:color w:val="000000"/>
        </w:rPr>
      </w:pPr>
      <w:r w:rsidRPr="003F1B17">
        <w:rPr>
          <w:rFonts w:asciiTheme="minorHAnsi" w:hAnsiTheme="minorHAnsi" w:cstheme="minorHAnsi"/>
          <w:color w:val="000000"/>
        </w:rPr>
        <w:t>L’entité détermine la durée d’utilisation, limitée ou non, de l’écart d’acquisition.  Elle procède à une analyse documentée des caractéristiques pertinentes de l’opération d’acquisition sur les aspects techniques, économiques et juridiques.</w:t>
      </w:r>
    </w:p>
    <w:p w14:paraId="3D8380D5" w14:textId="77777777" w:rsidR="00644DE9" w:rsidRPr="003F1B17" w:rsidRDefault="00644DE9" w:rsidP="00644DE9">
      <w:pPr>
        <w:jc w:val="both"/>
        <w:rPr>
          <w:rFonts w:asciiTheme="minorHAnsi" w:hAnsiTheme="minorHAnsi" w:cstheme="minorHAnsi"/>
        </w:rPr>
      </w:pPr>
    </w:p>
    <w:p w14:paraId="78F2318C" w14:textId="5EF84C0E" w:rsidR="00644DE9" w:rsidRPr="003F1B17" w:rsidRDefault="00ED489C" w:rsidP="00644DE9">
      <w:pPr>
        <w:jc w:val="both"/>
        <w:rPr>
          <w:rFonts w:asciiTheme="minorHAnsi" w:hAnsiTheme="minorHAnsi" w:cstheme="minorHAnsi"/>
          <w:color w:val="000000"/>
        </w:rPr>
      </w:pPr>
      <w:r>
        <w:rPr>
          <w:rFonts w:asciiTheme="minorHAnsi" w:hAnsiTheme="minorHAnsi" w:cstheme="minorHAnsi"/>
          <w:color w:val="000000"/>
        </w:rPr>
        <w:t>Elle</w:t>
      </w:r>
      <w:r w:rsidR="00644DE9" w:rsidRPr="003F1B17">
        <w:rPr>
          <w:rFonts w:asciiTheme="minorHAnsi" w:hAnsiTheme="minorHAnsi" w:cstheme="minorHAnsi"/>
          <w:color w:val="000000"/>
        </w:rPr>
        <w:t xml:space="preserve"> doit apprécier, à chaque clôture des comptes, s’il existe un indice montrant que l’écart d’acquisition a pu perdre de sa valeur. Lorsqu’il existe un indice de perte de valeur, un test de dépréciation est effectué : la valeur nette comptable de l’écart d’acquisition est alors comparée à sa valeur actuelle.</w:t>
      </w:r>
    </w:p>
    <w:p w14:paraId="7E63B8FF" w14:textId="77777777" w:rsidR="00644DE9" w:rsidRPr="003F1B17" w:rsidRDefault="00644DE9" w:rsidP="00644DE9">
      <w:pPr>
        <w:jc w:val="both"/>
        <w:rPr>
          <w:rFonts w:asciiTheme="minorHAnsi" w:hAnsiTheme="minorHAnsi" w:cstheme="minorHAnsi"/>
        </w:rPr>
      </w:pPr>
    </w:p>
    <w:p w14:paraId="52BD19A1" w14:textId="77777777" w:rsidR="00644DE9" w:rsidRPr="003F1B17" w:rsidRDefault="00644DE9" w:rsidP="00644DE9">
      <w:pPr>
        <w:jc w:val="both"/>
        <w:rPr>
          <w:rFonts w:asciiTheme="minorHAnsi" w:hAnsiTheme="minorHAnsi" w:cstheme="minorHAnsi"/>
          <w:color w:val="000000"/>
        </w:rPr>
      </w:pPr>
      <w:r w:rsidRPr="003F1B17">
        <w:rPr>
          <w:rFonts w:asciiTheme="minorHAnsi" w:hAnsiTheme="minorHAnsi" w:cstheme="minorHAnsi"/>
          <w:color w:val="000000"/>
        </w:rPr>
        <w:t xml:space="preserve">A compter du 1er janvier 2016, trois situations peuvent se présenter : </w:t>
      </w:r>
    </w:p>
    <w:p w14:paraId="3B8D0D3B" w14:textId="77777777" w:rsidR="00644DE9" w:rsidRPr="00ED489C" w:rsidRDefault="00644DE9" w:rsidP="00644DE9">
      <w:pPr>
        <w:jc w:val="both"/>
        <w:rPr>
          <w:rFonts w:asciiTheme="minorHAnsi" w:hAnsiTheme="minorHAnsi" w:cstheme="minorHAnsi"/>
          <w:color w:val="000000"/>
          <w:sz w:val="2"/>
          <w:szCs w:val="2"/>
        </w:rPr>
      </w:pPr>
    </w:p>
    <w:tbl>
      <w:tblPr>
        <w:tblStyle w:val="Grilledutableau"/>
        <w:tblW w:w="9351" w:type="dxa"/>
        <w:tblLook w:val="04A0" w:firstRow="1" w:lastRow="0" w:firstColumn="1" w:lastColumn="0" w:noHBand="0" w:noVBand="1"/>
      </w:tblPr>
      <w:tblGrid>
        <w:gridCol w:w="2405"/>
        <w:gridCol w:w="6946"/>
      </w:tblGrid>
      <w:tr w:rsidR="00644DE9" w:rsidRPr="003F1B17" w14:paraId="69CB6290" w14:textId="77777777" w:rsidTr="0051551C">
        <w:tc>
          <w:tcPr>
            <w:tcW w:w="2405" w:type="dxa"/>
          </w:tcPr>
          <w:p w14:paraId="2D415ECF" w14:textId="77777777" w:rsidR="00644DE9" w:rsidRPr="003F1B17" w:rsidRDefault="00644DE9" w:rsidP="0051551C">
            <w:pPr>
              <w:jc w:val="both"/>
              <w:rPr>
                <w:rFonts w:asciiTheme="minorHAnsi" w:hAnsiTheme="minorHAnsi" w:cstheme="minorHAnsi"/>
                <w:b/>
                <w:color w:val="000000"/>
              </w:rPr>
            </w:pPr>
            <w:r w:rsidRPr="003F1B17">
              <w:rPr>
                <w:rFonts w:asciiTheme="minorHAnsi" w:hAnsiTheme="minorHAnsi" w:cstheme="minorHAnsi"/>
                <w:b/>
                <w:color w:val="000000"/>
              </w:rPr>
              <w:t>Durée d’utilisation</w:t>
            </w:r>
          </w:p>
        </w:tc>
        <w:tc>
          <w:tcPr>
            <w:tcW w:w="6946" w:type="dxa"/>
          </w:tcPr>
          <w:p w14:paraId="3FDF04E4" w14:textId="77777777" w:rsidR="00644DE9" w:rsidRPr="003F1B17" w:rsidRDefault="00644DE9" w:rsidP="0051551C">
            <w:pPr>
              <w:jc w:val="both"/>
              <w:rPr>
                <w:rFonts w:asciiTheme="minorHAnsi" w:hAnsiTheme="minorHAnsi" w:cstheme="minorHAnsi"/>
                <w:b/>
                <w:color w:val="000000"/>
              </w:rPr>
            </w:pPr>
            <w:r w:rsidRPr="003F1B17">
              <w:rPr>
                <w:rFonts w:asciiTheme="minorHAnsi" w:hAnsiTheme="minorHAnsi" w:cstheme="minorHAnsi"/>
                <w:b/>
                <w:color w:val="000000"/>
              </w:rPr>
              <w:t>Amortissement des écarts d’acquisition</w:t>
            </w:r>
          </w:p>
        </w:tc>
      </w:tr>
      <w:tr w:rsidR="00644DE9" w:rsidRPr="003F1B17" w14:paraId="72AA5361" w14:textId="77777777" w:rsidTr="00C56490">
        <w:tc>
          <w:tcPr>
            <w:tcW w:w="2405" w:type="dxa"/>
            <w:vAlign w:val="center"/>
          </w:tcPr>
          <w:p w14:paraId="3A910FF2" w14:textId="77777777" w:rsidR="00644DE9" w:rsidRPr="003F1B17" w:rsidRDefault="00644DE9" w:rsidP="00C56490">
            <w:pPr>
              <w:jc w:val="center"/>
              <w:rPr>
                <w:rFonts w:asciiTheme="minorHAnsi" w:hAnsiTheme="minorHAnsi" w:cstheme="minorHAnsi"/>
                <w:color w:val="000000"/>
              </w:rPr>
            </w:pPr>
            <w:r w:rsidRPr="003F1B17">
              <w:rPr>
                <w:rFonts w:asciiTheme="minorHAnsi" w:hAnsiTheme="minorHAnsi" w:cstheme="minorHAnsi"/>
                <w:color w:val="000000"/>
              </w:rPr>
              <w:t>Non limitée</w:t>
            </w:r>
          </w:p>
        </w:tc>
        <w:tc>
          <w:tcPr>
            <w:tcW w:w="6946" w:type="dxa"/>
          </w:tcPr>
          <w:p w14:paraId="6A1D8463" w14:textId="77C6F2B4" w:rsidR="00644DE9" w:rsidRPr="003F1B17" w:rsidRDefault="00644DE9" w:rsidP="0051551C">
            <w:pPr>
              <w:jc w:val="both"/>
              <w:rPr>
                <w:rFonts w:asciiTheme="minorHAnsi" w:hAnsiTheme="minorHAnsi" w:cstheme="minorHAnsi"/>
                <w:color w:val="000000"/>
              </w:rPr>
            </w:pPr>
            <w:r w:rsidRPr="00CC384B">
              <w:rPr>
                <w:rFonts w:asciiTheme="minorHAnsi" w:hAnsiTheme="minorHAnsi" w:cstheme="minorHAnsi"/>
                <w:b/>
                <w:color w:val="000000"/>
              </w:rPr>
              <w:t>Pas d’amortissement</w:t>
            </w:r>
            <w:r w:rsidR="00CC384B">
              <w:rPr>
                <w:rFonts w:asciiTheme="minorHAnsi" w:hAnsiTheme="minorHAnsi" w:cstheme="minorHAnsi"/>
                <w:color w:val="000000"/>
              </w:rPr>
              <w:t>.</w:t>
            </w:r>
          </w:p>
          <w:p w14:paraId="096CC321" w14:textId="77777777" w:rsidR="00644DE9" w:rsidRPr="003F1B17" w:rsidRDefault="00644DE9" w:rsidP="0051551C">
            <w:pPr>
              <w:jc w:val="both"/>
              <w:rPr>
                <w:rFonts w:asciiTheme="minorHAnsi" w:hAnsiTheme="minorHAnsi" w:cstheme="minorHAnsi"/>
                <w:color w:val="000000"/>
              </w:rPr>
            </w:pPr>
            <w:r w:rsidRPr="003F1B17">
              <w:rPr>
                <w:rFonts w:asciiTheme="minorHAnsi" w:hAnsiTheme="minorHAnsi" w:cstheme="minorHAnsi"/>
                <w:color w:val="000000"/>
              </w:rPr>
              <w:t xml:space="preserve">Test de dépréciation annuel qu’il existe ou non un indice de perte de valeur. </w:t>
            </w:r>
          </w:p>
          <w:p w14:paraId="2C867173" w14:textId="77777777" w:rsidR="00644DE9" w:rsidRPr="003F1B17" w:rsidRDefault="00644DE9" w:rsidP="0051551C">
            <w:pPr>
              <w:jc w:val="both"/>
              <w:rPr>
                <w:rFonts w:asciiTheme="minorHAnsi" w:hAnsiTheme="minorHAnsi" w:cstheme="minorHAnsi"/>
                <w:color w:val="000000"/>
              </w:rPr>
            </w:pPr>
            <w:r w:rsidRPr="003F1B17">
              <w:rPr>
                <w:rFonts w:asciiTheme="minorHAnsi" w:hAnsiTheme="minorHAnsi" w:cstheme="minorHAnsi"/>
                <w:color w:val="000000"/>
              </w:rPr>
              <w:t xml:space="preserve">Si valeur actuelle &lt; VNC  =&gt; comptabilisation d’une dépréciation </w:t>
            </w:r>
          </w:p>
          <w:p w14:paraId="3CBB25EA" w14:textId="77777777" w:rsidR="00644DE9" w:rsidRPr="003F1B17" w:rsidRDefault="00644DE9" w:rsidP="0051551C">
            <w:pPr>
              <w:jc w:val="both"/>
              <w:rPr>
                <w:rFonts w:asciiTheme="minorHAnsi" w:hAnsiTheme="minorHAnsi" w:cstheme="minorHAnsi"/>
                <w:color w:val="000000"/>
              </w:rPr>
            </w:pPr>
            <w:r w:rsidRPr="003F1B17">
              <w:rPr>
                <w:rFonts w:asciiTheme="minorHAnsi" w:hAnsiTheme="minorHAnsi" w:cstheme="minorHAnsi"/>
                <w:color w:val="000000"/>
              </w:rPr>
              <w:t>Les dépréciations comptabilisées ne sont jamais reprises.</w:t>
            </w:r>
          </w:p>
        </w:tc>
      </w:tr>
      <w:tr w:rsidR="00644DE9" w:rsidRPr="003F1B17" w14:paraId="352D20AD" w14:textId="77777777" w:rsidTr="00C56490">
        <w:tc>
          <w:tcPr>
            <w:tcW w:w="2405" w:type="dxa"/>
            <w:vAlign w:val="center"/>
          </w:tcPr>
          <w:p w14:paraId="272AF0B2" w14:textId="77777777" w:rsidR="00CC384B" w:rsidRDefault="00CC384B" w:rsidP="00C56490">
            <w:pPr>
              <w:jc w:val="center"/>
              <w:rPr>
                <w:rFonts w:asciiTheme="minorHAnsi" w:hAnsiTheme="minorHAnsi" w:cstheme="minorHAnsi"/>
                <w:color w:val="000000"/>
              </w:rPr>
            </w:pPr>
          </w:p>
          <w:p w14:paraId="5A3D315B" w14:textId="435BA257" w:rsidR="00644DE9" w:rsidRDefault="00644DE9" w:rsidP="00C56490">
            <w:pPr>
              <w:jc w:val="center"/>
              <w:rPr>
                <w:rFonts w:asciiTheme="minorHAnsi" w:hAnsiTheme="minorHAnsi" w:cstheme="minorHAnsi"/>
                <w:color w:val="000000"/>
              </w:rPr>
            </w:pPr>
            <w:r w:rsidRPr="003F1B17">
              <w:rPr>
                <w:rFonts w:asciiTheme="minorHAnsi" w:hAnsiTheme="minorHAnsi" w:cstheme="minorHAnsi"/>
                <w:color w:val="000000"/>
              </w:rPr>
              <w:t>Limitée</w:t>
            </w:r>
          </w:p>
          <w:p w14:paraId="2D6FCA09" w14:textId="2E840AE5" w:rsidR="00CC384B" w:rsidRDefault="00CC384B" w:rsidP="00C56490">
            <w:pPr>
              <w:jc w:val="center"/>
              <w:rPr>
                <w:rFonts w:asciiTheme="minorHAnsi" w:hAnsiTheme="minorHAnsi" w:cstheme="minorHAnsi"/>
                <w:color w:val="000000"/>
              </w:rPr>
            </w:pPr>
          </w:p>
          <w:p w14:paraId="1AA2CDA2" w14:textId="064343A5" w:rsidR="00CC384B" w:rsidRDefault="00CC384B" w:rsidP="00C56490">
            <w:pPr>
              <w:jc w:val="center"/>
              <w:rPr>
                <w:rFonts w:asciiTheme="minorHAnsi" w:hAnsiTheme="minorHAnsi" w:cstheme="minorHAnsi"/>
                <w:color w:val="000000"/>
              </w:rPr>
            </w:pPr>
          </w:p>
          <w:p w14:paraId="5D86CD2F" w14:textId="49F97BDA" w:rsidR="00CC384B" w:rsidRDefault="00CC384B" w:rsidP="00C56490">
            <w:pPr>
              <w:jc w:val="center"/>
              <w:rPr>
                <w:rFonts w:asciiTheme="minorHAnsi" w:hAnsiTheme="minorHAnsi" w:cstheme="minorHAnsi"/>
                <w:color w:val="000000"/>
              </w:rPr>
            </w:pPr>
          </w:p>
          <w:p w14:paraId="219BC0E8" w14:textId="2C5025AF" w:rsidR="00CC384B" w:rsidRDefault="00CC384B" w:rsidP="00CC384B">
            <w:pPr>
              <w:rPr>
                <w:rFonts w:asciiTheme="minorHAnsi" w:hAnsiTheme="minorHAnsi" w:cstheme="minorHAnsi"/>
                <w:color w:val="000000"/>
              </w:rPr>
            </w:pPr>
          </w:p>
          <w:p w14:paraId="0B4D941F" w14:textId="3576ADBF" w:rsidR="00CC384B" w:rsidRPr="003F1B17" w:rsidRDefault="00CC384B" w:rsidP="00CC384B">
            <w:pPr>
              <w:rPr>
                <w:rFonts w:asciiTheme="minorHAnsi" w:hAnsiTheme="minorHAnsi" w:cstheme="minorHAnsi"/>
                <w:color w:val="000000"/>
              </w:rPr>
            </w:pPr>
          </w:p>
        </w:tc>
        <w:tc>
          <w:tcPr>
            <w:tcW w:w="6946" w:type="dxa"/>
          </w:tcPr>
          <w:p w14:paraId="3A3821AF" w14:textId="77777777" w:rsidR="00644DE9" w:rsidRPr="003F1B17" w:rsidRDefault="00644DE9" w:rsidP="0051551C">
            <w:pPr>
              <w:jc w:val="both"/>
              <w:rPr>
                <w:rFonts w:asciiTheme="minorHAnsi" w:hAnsiTheme="minorHAnsi" w:cstheme="minorHAnsi"/>
                <w:color w:val="000000"/>
              </w:rPr>
            </w:pPr>
            <w:r w:rsidRPr="00CC384B">
              <w:rPr>
                <w:rFonts w:asciiTheme="minorHAnsi" w:hAnsiTheme="minorHAnsi" w:cstheme="minorHAnsi"/>
                <w:b/>
                <w:color w:val="000000"/>
              </w:rPr>
              <w:t>Amortissement systématique sur la durée d’utilisation, en linéaire</w:t>
            </w:r>
            <w:r w:rsidRPr="003F1B17">
              <w:rPr>
                <w:rFonts w:asciiTheme="minorHAnsi" w:hAnsiTheme="minorHAnsi" w:cstheme="minorHAnsi"/>
                <w:color w:val="000000"/>
              </w:rPr>
              <w:t xml:space="preserve">. </w:t>
            </w:r>
          </w:p>
          <w:p w14:paraId="167107CD" w14:textId="77777777" w:rsidR="00644DE9" w:rsidRPr="003F1B17" w:rsidRDefault="00644DE9" w:rsidP="0051551C">
            <w:pPr>
              <w:jc w:val="both"/>
              <w:rPr>
                <w:rFonts w:asciiTheme="minorHAnsi" w:hAnsiTheme="minorHAnsi" w:cstheme="minorHAnsi"/>
                <w:color w:val="000000"/>
              </w:rPr>
            </w:pPr>
            <w:r w:rsidRPr="003F1B17">
              <w:rPr>
                <w:rFonts w:asciiTheme="minorHAnsi" w:hAnsiTheme="minorHAnsi" w:cstheme="minorHAnsi"/>
                <w:color w:val="000000"/>
              </w:rPr>
              <w:t xml:space="preserve">Toute modification significative de la durée d’utilisation de l’écart d’acquisition est traitée de manière prospective.  </w:t>
            </w:r>
          </w:p>
          <w:p w14:paraId="0944F30E" w14:textId="5448012D" w:rsidR="00CC384B" w:rsidRPr="003F1B17" w:rsidRDefault="00FA102C" w:rsidP="0051551C">
            <w:pPr>
              <w:jc w:val="both"/>
              <w:rPr>
                <w:rFonts w:asciiTheme="minorHAnsi" w:hAnsiTheme="minorHAnsi" w:cstheme="minorHAnsi"/>
                <w:color w:val="000000"/>
              </w:rPr>
            </w:pPr>
            <w:r w:rsidRPr="003F1B17">
              <w:rPr>
                <w:rFonts w:asciiTheme="minorHAnsi" w:hAnsiTheme="minorHAnsi" w:cstheme="minorHAnsi"/>
                <w:color w:val="000000"/>
              </w:rPr>
              <w:t>S’il y a un</w:t>
            </w:r>
            <w:r w:rsidR="00644DE9" w:rsidRPr="003F1B17">
              <w:rPr>
                <w:rFonts w:asciiTheme="minorHAnsi" w:hAnsiTheme="minorHAnsi" w:cstheme="minorHAnsi"/>
                <w:color w:val="000000"/>
              </w:rPr>
              <w:t xml:space="preserve"> indice de pert</w:t>
            </w:r>
            <w:r w:rsidRPr="003F1B17">
              <w:rPr>
                <w:rFonts w:asciiTheme="minorHAnsi" w:hAnsiTheme="minorHAnsi" w:cstheme="minorHAnsi"/>
                <w:color w:val="000000"/>
              </w:rPr>
              <w:t>e de valeur alors</w:t>
            </w:r>
            <w:r w:rsidR="00644DE9" w:rsidRPr="003F1B17">
              <w:rPr>
                <w:rFonts w:asciiTheme="minorHAnsi" w:hAnsiTheme="minorHAnsi" w:cstheme="minorHAnsi"/>
                <w:color w:val="000000"/>
              </w:rPr>
              <w:t xml:space="preserve"> un test de dépréciation doit être effectué. S’il n’existe pas d’indice de perte de valeur, ce test n’a pas à être mis en </w:t>
            </w:r>
            <w:r w:rsidR="00C56490" w:rsidRPr="003F1B17">
              <w:rPr>
                <w:rFonts w:asciiTheme="minorHAnsi" w:hAnsiTheme="minorHAnsi" w:cstheme="minorHAnsi"/>
                <w:color w:val="000000"/>
              </w:rPr>
              <w:t>œuvre</w:t>
            </w:r>
            <w:r w:rsidR="00644DE9" w:rsidRPr="003F1B17">
              <w:rPr>
                <w:rFonts w:asciiTheme="minorHAnsi" w:hAnsiTheme="minorHAnsi" w:cstheme="minorHAnsi"/>
                <w:color w:val="000000"/>
              </w:rPr>
              <w:t xml:space="preserve"> annuellement. </w:t>
            </w:r>
            <w:r w:rsidR="00CC384B">
              <w:rPr>
                <w:rFonts w:asciiTheme="minorHAnsi" w:hAnsiTheme="minorHAnsi" w:cstheme="minorHAnsi"/>
                <w:color w:val="000000"/>
              </w:rPr>
              <w:t xml:space="preserve"> </w:t>
            </w:r>
          </w:p>
        </w:tc>
      </w:tr>
      <w:tr w:rsidR="00644DE9" w:rsidRPr="003F1B17" w14:paraId="0A1E4C6B" w14:textId="77777777" w:rsidTr="00C56490">
        <w:tc>
          <w:tcPr>
            <w:tcW w:w="2405" w:type="dxa"/>
            <w:vAlign w:val="center"/>
          </w:tcPr>
          <w:p w14:paraId="1F4B565B" w14:textId="77777777" w:rsidR="00644DE9" w:rsidRPr="003F1B17" w:rsidRDefault="00644DE9" w:rsidP="00C56490">
            <w:pPr>
              <w:jc w:val="center"/>
              <w:rPr>
                <w:rFonts w:asciiTheme="minorHAnsi" w:hAnsiTheme="minorHAnsi" w:cstheme="minorHAnsi"/>
                <w:color w:val="000000"/>
              </w:rPr>
            </w:pPr>
            <w:r w:rsidRPr="003F1B17">
              <w:rPr>
                <w:rFonts w:asciiTheme="minorHAnsi" w:hAnsiTheme="minorHAnsi" w:cstheme="minorHAnsi"/>
                <w:color w:val="000000"/>
              </w:rPr>
              <w:t>Limitée mais non fiable</w:t>
            </w:r>
          </w:p>
        </w:tc>
        <w:tc>
          <w:tcPr>
            <w:tcW w:w="6946" w:type="dxa"/>
          </w:tcPr>
          <w:p w14:paraId="6C61B33D" w14:textId="77777777" w:rsidR="00CC384B" w:rsidRDefault="00CC384B" w:rsidP="00CC384B">
            <w:pPr>
              <w:jc w:val="both"/>
              <w:rPr>
                <w:rFonts w:asciiTheme="minorHAnsi" w:hAnsiTheme="minorHAnsi" w:cstheme="minorHAnsi"/>
                <w:color w:val="000000"/>
              </w:rPr>
            </w:pPr>
            <w:r w:rsidRPr="00CC384B">
              <w:rPr>
                <w:rFonts w:asciiTheme="minorHAnsi" w:hAnsiTheme="minorHAnsi" w:cstheme="minorHAnsi"/>
                <w:b/>
                <w:color w:val="000000"/>
              </w:rPr>
              <w:t xml:space="preserve">Amortissement </w:t>
            </w:r>
            <w:r>
              <w:rPr>
                <w:rFonts w:asciiTheme="minorHAnsi" w:hAnsiTheme="minorHAnsi" w:cstheme="minorHAnsi"/>
                <w:b/>
                <w:color w:val="000000"/>
              </w:rPr>
              <w:t>systématique sur 10 ans en liné</w:t>
            </w:r>
            <w:r w:rsidRPr="00CC384B">
              <w:rPr>
                <w:rFonts w:asciiTheme="minorHAnsi" w:hAnsiTheme="minorHAnsi" w:cstheme="minorHAnsi"/>
                <w:b/>
                <w:color w:val="000000"/>
              </w:rPr>
              <w:t>aire</w:t>
            </w:r>
            <w:r>
              <w:rPr>
                <w:rFonts w:asciiTheme="minorHAnsi" w:hAnsiTheme="minorHAnsi" w:cstheme="minorHAnsi"/>
                <w:color w:val="000000"/>
              </w:rPr>
              <w:t>.</w:t>
            </w:r>
          </w:p>
          <w:p w14:paraId="0C3C8DF3" w14:textId="0A51AEC1" w:rsidR="00644DE9" w:rsidRPr="003F1B17" w:rsidRDefault="00CC384B" w:rsidP="0051551C">
            <w:pPr>
              <w:jc w:val="both"/>
              <w:rPr>
                <w:rFonts w:asciiTheme="minorHAnsi" w:hAnsiTheme="minorHAnsi" w:cstheme="minorHAnsi"/>
                <w:color w:val="000000"/>
              </w:rPr>
            </w:pPr>
            <w:r>
              <w:rPr>
                <w:rFonts w:asciiTheme="minorHAnsi" w:hAnsiTheme="minorHAnsi" w:cstheme="minorHAnsi"/>
                <w:color w:val="000000"/>
              </w:rPr>
              <w:t>Idem cas « limitée ».</w:t>
            </w:r>
          </w:p>
        </w:tc>
      </w:tr>
    </w:tbl>
    <w:p w14:paraId="47664DA2" w14:textId="77777777" w:rsidR="00644DE9" w:rsidRPr="003F1B17" w:rsidRDefault="00644DE9" w:rsidP="00644DE9">
      <w:pPr>
        <w:jc w:val="both"/>
        <w:rPr>
          <w:rFonts w:asciiTheme="minorHAnsi" w:hAnsiTheme="minorHAnsi" w:cstheme="minorHAnsi"/>
        </w:rPr>
      </w:pPr>
    </w:p>
    <w:p w14:paraId="3ABD1280" w14:textId="40F7645B" w:rsidR="00644DE9" w:rsidRPr="003F1B17" w:rsidRDefault="00364FBB" w:rsidP="00644DE9">
      <w:pPr>
        <w:jc w:val="both"/>
        <w:rPr>
          <w:rFonts w:asciiTheme="minorHAnsi" w:hAnsiTheme="minorHAnsi" w:cstheme="minorHAnsi"/>
          <w:u w:val="single"/>
        </w:rPr>
      </w:pPr>
      <w:r>
        <w:rPr>
          <w:rFonts w:asciiTheme="minorHAnsi" w:hAnsiTheme="minorHAnsi" w:cstheme="minorHAnsi"/>
          <w:u w:val="single"/>
        </w:rPr>
        <w:t>Situation particulière</w:t>
      </w:r>
      <w:r w:rsidRPr="00364FBB">
        <w:rPr>
          <w:rFonts w:asciiTheme="minorHAnsi" w:hAnsiTheme="minorHAnsi" w:cstheme="minorHAnsi"/>
        </w:rPr>
        <w:t> :</w:t>
      </w:r>
    </w:p>
    <w:p w14:paraId="20F0EEF1" w14:textId="6534D720" w:rsidR="002F1076" w:rsidRDefault="002F1076" w:rsidP="00644DE9">
      <w:pPr>
        <w:jc w:val="both"/>
        <w:rPr>
          <w:rFonts w:asciiTheme="minorHAnsi" w:hAnsiTheme="minorHAnsi" w:cstheme="minorHAnsi"/>
        </w:rPr>
      </w:pPr>
    </w:p>
    <w:p w14:paraId="027B7964" w14:textId="7B37A63A" w:rsidR="00644DE9" w:rsidRPr="003F1B17" w:rsidRDefault="00644DE9" w:rsidP="00644DE9">
      <w:pPr>
        <w:jc w:val="both"/>
        <w:rPr>
          <w:rFonts w:asciiTheme="minorHAnsi" w:hAnsiTheme="minorHAnsi" w:cstheme="minorHAnsi"/>
        </w:rPr>
      </w:pPr>
      <w:r w:rsidRPr="003F1B17">
        <w:rPr>
          <w:rFonts w:asciiTheme="minorHAnsi" w:hAnsiTheme="minorHAnsi" w:cstheme="minorHAnsi"/>
        </w:rPr>
        <w:t xml:space="preserve">Lorsque la durée d’utilisation de l’écart d’acquisition estimée à l’origine comme non limitée, devient limitée, alors un test de dépréciation est réalisé. L’écart d’acquisition, le cas échéant déprécié, est amorti sur la durée d’utilisation résiduelle. </w:t>
      </w:r>
    </w:p>
    <w:p w14:paraId="55ECB058" w14:textId="77777777" w:rsidR="00644DE9" w:rsidRPr="003F1B17" w:rsidRDefault="00644DE9" w:rsidP="00644DE9">
      <w:pPr>
        <w:jc w:val="both"/>
        <w:rPr>
          <w:rFonts w:asciiTheme="minorHAnsi" w:hAnsiTheme="minorHAnsi" w:cstheme="minorHAnsi"/>
        </w:rPr>
      </w:pPr>
    </w:p>
    <w:p w14:paraId="7435F097"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Toutes les informations utiles relatives aux modalités de détermination de la durée d’utilisation, limitée ou non, de l’écart d’acquisition, permettant de justifier de celle-ci, sont mentionnées dans l’annexe des comptes consolidés.</w:t>
      </w:r>
    </w:p>
    <w:p w14:paraId="545BD2C8" w14:textId="77777777" w:rsidR="00644DE9" w:rsidRPr="003F1B17" w:rsidRDefault="00644DE9" w:rsidP="00644DE9">
      <w:pPr>
        <w:jc w:val="both"/>
        <w:rPr>
          <w:rFonts w:asciiTheme="minorHAnsi" w:hAnsiTheme="minorHAnsi" w:cstheme="minorHAnsi"/>
        </w:rPr>
      </w:pPr>
    </w:p>
    <w:p w14:paraId="08CE07E2" w14:textId="0BABE980" w:rsidR="00644DE9" w:rsidRPr="00364FBB" w:rsidRDefault="000550A9" w:rsidP="00644DE9">
      <w:pPr>
        <w:jc w:val="both"/>
        <w:rPr>
          <w:rStyle w:val="Lienhypertexte"/>
          <w:rFonts w:asciiTheme="minorHAnsi" w:hAnsiTheme="minorHAnsi" w:cstheme="minorHAnsi"/>
          <w:b/>
        </w:rPr>
      </w:pPr>
      <w:hyperlink r:id="rId15" w:history="1">
        <w:r w:rsidR="00644DE9" w:rsidRPr="00364FBB">
          <w:rPr>
            <w:rStyle w:val="Lienhypertexte"/>
            <w:rFonts w:asciiTheme="minorHAnsi" w:hAnsiTheme="minorHAnsi" w:cstheme="minorHAnsi"/>
            <w:b/>
          </w:rPr>
          <w:t>Note de présentation du règlement ANC n°2015-07 du 23 novembre 2015 modifiant l'annexe du règlement n°99-02 du 29 avril 1999 du CRC modifié relatif aux comptes consolidés des sociétés commerciales et entreprises publiques</w:t>
        </w:r>
      </w:hyperlink>
    </w:p>
    <w:p w14:paraId="10ADD682" w14:textId="77777777" w:rsidR="00ED489C" w:rsidRPr="00ED489C" w:rsidRDefault="00ED489C" w:rsidP="00644DE9">
      <w:pPr>
        <w:jc w:val="both"/>
        <w:rPr>
          <w:rFonts w:asciiTheme="minorHAnsi" w:hAnsiTheme="minorHAnsi" w:cstheme="minorHAnsi"/>
          <w:b/>
          <w:sz w:val="6"/>
          <w:szCs w:val="6"/>
        </w:rPr>
      </w:pPr>
    </w:p>
    <w:p w14:paraId="6FB47220" w14:textId="374A91C1" w:rsidR="00364FBB" w:rsidRDefault="000550A9" w:rsidP="00ED489C">
      <w:pPr>
        <w:jc w:val="both"/>
        <w:rPr>
          <w:rStyle w:val="Lienhypertexte"/>
          <w:rFonts w:asciiTheme="minorHAnsi" w:hAnsiTheme="minorHAnsi" w:cstheme="minorHAnsi"/>
          <w:b/>
        </w:rPr>
      </w:pPr>
      <w:hyperlink r:id="rId16" w:history="1">
        <w:r w:rsidR="00644DE9" w:rsidRPr="00364FBB">
          <w:rPr>
            <w:rStyle w:val="Lienhypertexte"/>
            <w:rFonts w:asciiTheme="minorHAnsi" w:hAnsiTheme="minorHAnsi" w:cstheme="minorHAnsi"/>
            <w:b/>
          </w:rPr>
          <w:t>Règlement ANC n°2015-07 du 23 novembre 2015 modifiant l'annexe du règlement n°99-02 du 29 avril 1999 du CRC modifié relatif aux comptes consolidés des sociétés commerciales et entreprises publiques</w:t>
        </w:r>
      </w:hyperlink>
    </w:p>
    <w:p w14:paraId="42C66577" w14:textId="77777777" w:rsidR="00ED489C" w:rsidRPr="00ED489C" w:rsidRDefault="00ED489C" w:rsidP="00ED489C">
      <w:pPr>
        <w:jc w:val="both"/>
        <w:rPr>
          <w:rFonts w:asciiTheme="minorHAnsi" w:hAnsiTheme="minorHAnsi" w:cstheme="minorHAnsi"/>
          <w:b/>
        </w:rPr>
      </w:pPr>
    </w:p>
    <w:p w14:paraId="331B6C14" w14:textId="2336284A" w:rsidR="00644DE9" w:rsidRPr="00B4527B" w:rsidRDefault="00B4527B" w:rsidP="00B4527B">
      <w:pPr>
        <w:pStyle w:val="Titre3"/>
        <w:rPr>
          <w:rFonts w:ascii="Calibri" w:hAnsi="Calibri" w:cs="Calibri"/>
          <w:b/>
          <w:color w:val="auto"/>
          <w:sz w:val="22"/>
          <w:szCs w:val="22"/>
          <w:u w:val="single"/>
        </w:rPr>
      </w:pPr>
      <w:bookmarkStart w:id="18" w:name="_Toc471757703"/>
      <w:r>
        <w:rPr>
          <w:rFonts w:ascii="Calibri" w:hAnsi="Calibri" w:cs="Calibri"/>
          <w:b/>
          <w:color w:val="auto"/>
          <w:sz w:val="22"/>
          <w:szCs w:val="22"/>
          <w:u w:val="single"/>
        </w:rPr>
        <w:t>Le traitement des</w:t>
      </w:r>
      <w:r w:rsidR="00644DE9" w:rsidRPr="00B4527B">
        <w:rPr>
          <w:rFonts w:ascii="Calibri" w:hAnsi="Calibri" w:cs="Calibri"/>
          <w:b/>
          <w:color w:val="auto"/>
          <w:sz w:val="22"/>
          <w:szCs w:val="22"/>
          <w:u w:val="single"/>
        </w:rPr>
        <w:t xml:space="preserve"> parts de marché</w:t>
      </w:r>
      <w:bookmarkEnd w:id="18"/>
    </w:p>
    <w:p w14:paraId="3E0DFE2D" w14:textId="77777777" w:rsidR="00644DE9" w:rsidRPr="003F1B17" w:rsidRDefault="00644DE9" w:rsidP="00644DE9">
      <w:pPr>
        <w:jc w:val="both"/>
        <w:rPr>
          <w:rFonts w:asciiTheme="minorHAnsi" w:hAnsiTheme="minorHAnsi" w:cstheme="minorHAnsi"/>
        </w:rPr>
      </w:pPr>
    </w:p>
    <w:p w14:paraId="39DCE60E"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En raison de la modification du traitement de l’écart d’acquisition, les parts de marchés ne peuvent plus figurer au bilan pour les exercices ouverts à compter du 1</w:t>
      </w:r>
      <w:r w:rsidRPr="003F1B17">
        <w:rPr>
          <w:rFonts w:asciiTheme="minorHAnsi" w:hAnsiTheme="minorHAnsi" w:cstheme="minorHAnsi"/>
          <w:vertAlign w:val="superscript"/>
        </w:rPr>
        <w:t>er</w:t>
      </w:r>
      <w:r w:rsidRPr="003F1B17">
        <w:rPr>
          <w:rFonts w:asciiTheme="minorHAnsi" w:hAnsiTheme="minorHAnsi" w:cstheme="minorHAnsi"/>
        </w:rPr>
        <w:t xml:space="preserve"> janvier 2016 (Collège de l’ANC du 5 novembre 2015 abrogeant l’avis n°2006-E du 6 décembre 2006 u comité d’urgence du CNC).</w:t>
      </w:r>
    </w:p>
    <w:p w14:paraId="6A727B87" w14:textId="77777777" w:rsidR="00644DE9" w:rsidRPr="003F1B17" w:rsidRDefault="00644DE9" w:rsidP="00644DE9">
      <w:pPr>
        <w:jc w:val="both"/>
        <w:rPr>
          <w:rFonts w:asciiTheme="minorHAnsi" w:hAnsiTheme="minorHAnsi" w:cstheme="minorHAnsi"/>
        </w:rPr>
      </w:pPr>
    </w:p>
    <w:p w14:paraId="44F9DF15"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 xml:space="preserve">Ainsi, les entreprises ne peuvent plus reconnaître de nouvelles parts de marché. Elles doivent donc les reclasser en écart d’acquisition. </w:t>
      </w:r>
    </w:p>
    <w:p w14:paraId="40EFF7D4" w14:textId="77777777" w:rsidR="00644DE9" w:rsidRPr="003F1B17" w:rsidRDefault="00644DE9" w:rsidP="00644DE9">
      <w:pPr>
        <w:jc w:val="both"/>
        <w:rPr>
          <w:rFonts w:asciiTheme="minorHAnsi" w:hAnsiTheme="minorHAnsi" w:cstheme="minorHAnsi"/>
        </w:rPr>
      </w:pPr>
    </w:p>
    <w:p w14:paraId="510359A1"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 xml:space="preserve">Le reclassement des parts de marché antérieures, se fait : </w:t>
      </w:r>
    </w:p>
    <w:p w14:paraId="0892589F"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à la valeur nette comptable qui est sortie du bilan à l’ouverture de l’exercice ; </w:t>
      </w:r>
    </w:p>
    <w:p w14:paraId="715E8B26" w14:textId="77777777" w:rsidR="00644DE9" w:rsidRPr="003F1B17" w:rsidRDefault="00644DE9" w:rsidP="00644DE9">
      <w:pPr>
        <w:pStyle w:val="Paragraphedeliste"/>
        <w:numPr>
          <w:ilvl w:val="0"/>
          <w:numId w:val="1"/>
        </w:numPr>
        <w:spacing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nette de la quote-part d’intérêts minoritaires qu’il faut comptabiliser directement en capitaux propres sur la part des intérêts minoritaires. </w:t>
      </w:r>
    </w:p>
    <w:p w14:paraId="530D2445" w14:textId="77777777" w:rsidR="00644DE9" w:rsidRPr="003F1B17" w:rsidRDefault="00644DE9" w:rsidP="00644DE9">
      <w:pPr>
        <w:jc w:val="both"/>
        <w:rPr>
          <w:rFonts w:asciiTheme="minorHAnsi" w:hAnsiTheme="minorHAnsi" w:cstheme="minorHAnsi"/>
        </w:rPr>
      </w:pPr>
    </w:p>
    <w:p w14:paraId="3A354176"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 xml:space="preserve">Les parts de marché suivent les mêmes règles d’amortissement et de dépréciation que les écarts d’acquisition sur lesquels elles sont affectées (durée d’utilisation limitée ou non). </w:t>
      </w:r>
    </w:p>
    <w:p w14:paraId="281D0FE7" w14:textId="77777777" w:rsidR="00644DE9" w:rsidRPr="003F1B17" w:rsidRDefault="00644DE9" w:rsidP="00644DE9">
      <w:pPr>
        <w:jc w:val="both"/>
        <w:rPr>
          <w:rFonts w:asciiTheme="minorHAnsi" w:hAnsiTheme="minorHAnsi" w:cstheme="minorHAnsi"/>
        </w:rPr>
      </w:pPr>
    </w:p>
    <w:p w14:paraId="7DF7E80E"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Toutes les informations nécessaires à la compréhension de l'impact du reclassement des parts de marché sont mentionnées dans l'annexe des comptes consolidés.</w:t>
      </w:r>
    </w:p>
    <w:p w14:paraId="2A8E6ACE" w14:textId="27625F91" w:rsidR="00644DE9" w:rsidRDefault="00644DE9" w:rsidP="00644DE9">
      <w:pPr>
        <w:rPr>
          <w:rFonts w:asciiTheme="minorHAnsi" w:hAnsiTheme="minorHAnsi" w:cstheme="minorHAnsi"/>
          <w:color w:val="444444"/>
        </w:rPr>
      </w:pPr>
    </w:p>
    <w:p w14:paraId="03F8F4FA" w14:textId="77777777" w:rsidR="00364FBB" w:rsidRPr="003F1B17" w:rsidRDefault="00364FBB" w:rsidP="00644DE9">
      <w:pPr>
        <w:rPr>
          <w:rFonts w:asciiTheme="minorHAnsi" w:hAnsiTheme="minorHAnsi" w:cstheme="minorHAnsi"/>
          <w:color w:val="444444"/>
        </w:rPr>
      </w:pPr>
    </w:p>
    <w:p w14:paraId="34A43548" w14:textId="3D85B239" w:rsidR="00644DE9" w:rsidRPr="00E14B8A" w:rsidRDefault="00E14B8A" w:rsidP="00E14B8A">
      <w:pPr>
        <w:pStyle w:val="Titre2"/>
        <w:rPr>
          <w:rFonts w:ascii="Calibri" w:hAnsi="Calibri" w:cs="Calibri"/>
          <w:b/>
          <w:i/>
          <w:color w:val="auto"/>
          <w:sz w:val="24"/>
          <w:szCs w:val="24"/>
        </w:rPr>
      </w:pPr>
      <w:bookmarkStart w:id="19" w:name="_Toc471757704"/>
      <w:r w:rsidRPr="00E14B8A">
        <w:rPr>
          <w:rFonts w:ascii="Calibri" w:hAnsi="Calibri" w:cs="Calibri"/>
          <w:b/>
          <w:i/>
          <w:color w:val="auto"/>
          <w:sz w:val="24"/>
          <w:szCs w:val="24"/>
        </w:rPr>
        <w:t xml:space="preserve">1.4 </w:t>
      </w:r>
      <w:r w:rsidR="00644DE9" w:rsidRPr="00E14B8A">
        <w:rPr>
          <w:rFonts w:ascii="Calibri" w:hAnsi="Calibri" w:cs="Calibri"/>
          <w:b/>
          <w:i/>
          <w:color w:val="auto"/>
          <w:sz w:val="24"/>
          <w:szCs w:val="24"/>
        </w:rPr>
        <w:t>Autres</w:t>
      </w:r>
      <w:bookmarkEnd w:id="19"/>
      <w:r w:rsidR="00644DE9" w:rsidRPr="00E14B8A">
        <w:rPr>
          <w:rFonts w:ascii="Calibri" w:hAnsi="Calibri" w:cs="Calibri"/>
          <w:b/>
          <w:i/>
          <w:color w:val="auto"/>
          <w:sz w:val="24"/>
          <w:szCs w:val="24"/>
        </w:rPr>
        <w:t xml:space="preserve">  </w:t>
      </w:r>
    </w:p>
    <w:p w14:paraId="1A9CD9D5" w14:textId="77777777" w:rsidR="00644DE9" w:rsidRPr="003F1B17" w:rsidRDefault="00644DE9" w:rsidP="00644DE9">
      <w:pPr>
        <w:pStyle w:val="Paragraphedeliste"/>
        <w:jc w:val="both"/>
        <w:rPr>
          <w:rFonts w:asciiTheme="minorHAnsi" w:eastAsia="Times New Roman" w:hAnsiTheme="minorHAnsi" w:cstheme="minorHAnsi"/>
          <w:b/>
          <w:i/>
          <w:sz w:val="24"/>
          <w:szCs w:val="24"/>
          <w:lang w:eastAsia="fr-FR"/>
        </w:rPr>
      </w:pPr>
    </w:p>
    <w:p w14:paraId="0A224AE3" w14:textId="05532BD6" w:rsidR="00B4527B" w:rsidRDefault="00644DE9" w:rsidP="00B4527B">
      <w:pPr>
        <w:pStyle w:val="Titre3"/>
        <w:rPr>
          <w:rFonts w:ascii="Calibri" w:hAnsi="Calibri" w:cs="Calibri"/>
          <w:b/>
          <w:color w:val="auto"/>
          <w:sz w:val="22"/>
          <w:szCs w:val="22"/>
          <w:u w:val="single"/>
        </w:rPr>
      </w:pPr>
      <w:bookmarkStart w:id="20" w:name="_Toc471757705"/>
      <w:r w:rsidRPr="00B4527B">
        <w:rPr>
          <w:rFonts w:ascii="Calibri" w:hAnsi="Calibri" w:cs="Calibri"/>
          <w:b/>
          <w:color w:val="auto"/>
          <w:sz w:val="22"/>
          <w:szCs w:val="22"/>
          <w:u w:val="single"/>
        </w:rPr>
        <w:t>La non compensation des comptes</w:t>
      </w:r>
      <w:bookmarkEnd w:id="20"/>
      <w:r w:rsidRPr="00B4527B">
        <w:rPr>
          <w:rFonts w:ascii="Calibri" w:hAnsi="Calibri" w:cs="Calibri"/>
          <w:b/>
          <w:color w:val="auto"/>
          <w:sz w:val="22"/>
          <w:szCs w:val="22"/>
          <w:u w:val="single"/>
        </w:rPr>
        <w:t xml:space="preserve"> </w:t>
      </w:r>
    </w:p>
    <w:p w14:paraId="62C574C6" w14:textId="77777777" w:rsidR="00B4527B" w:rsidRPr="00B4527B" w:rsidRDefault="00B4527B" w:rsidP="00B4527B"/>
    <w:p w14:paraId="3659FA61" w14:textId="6AB3ADE0"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L’ordonnance n°2015-900 du 23 juillet 2015 a modifié l’article L 123-19 du code de commerce. Cet article dispose : « Les éléments d'actif et de passif doivent être évalués séparément. Aucune compensation ne peut être opérée entre les postes d’actif et de passif du bilan ou entre les postes de charges et de produits du compte de résultat, </w:t>
      </w:r>
      <w:r w:rsidRPr="003F1B17">
        <w:rPr>
          <w:rFonts w:asciiTheme="minorHAnsi" w:hAnsiTheme="minorHAnsi" w:cstheme="minorHAnsi"/>
          <w:b/>
          <w:color w:val="000000" w:themeColor="text1"/>
        </w:rPr>
        <w:t>sauf dans des cas exceptionnels p</w:t>
      </w:r>
      <w:r w:rsidR="00FA102C" w:rsidRPr="003F1B17">
        <w:rPr>
          <w:rFonts w:asciiTheme="minorHAnsi" w:hAnsiTheme="minorHAnsi" w:cstheme="minorHAnsi"/>
          <w:b/>
          <w:color w:val="000000" w:themeColor="text1"/>
        </w:rPr>
        <w:t>révus par un règlement de l’a</w:t>
      </w:r>
      <w:r w:rsidRPr="003F1B17">
        <w:rPr>
          <w:rFonts w:asciiTheme="minorHAnsi" w:hAnsiTheme="minorHAnsi" w:cstheme="minorHAnsi"/>
          <w:b/>
          <w:color w:val="000000" w:themeColor="text1"/>
        </w:rPr>
        <w:t>utorité des normes comptables …</w:t>
      </w:r>
      <w:r w:rsidRPr="003F1B17">
        <w:rPr>
          <w:rFonts w:asciiTheme="minorHAnsi" w:hAnsiTheme="minorHAnsi" w:cstheme="minorHAnsi"/>
          <w:color w:val="000000" w:themeColor="text1"/>
        </w:rPr>
        <w:t xml:space="preserve">». </w:t>
      </w:r>
    </w:p>
    <w:p w14:paraId="34E73E5F" w14:textId="77777777" w:rsidR="00644DE9" w:rsidRPr="003F1B17" w:rsidRDefault="00644DE9" w:rsidP="00644DE9">
      <w:pP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Ainsi, l’ANC peut prévoir des cas de compensation. C’est le cas pour le produit du CICE (cpte 649) qui est comptabilisé en diminution des charges de personnel. </w:t>
      </w:r>
    </w:p>
    <w:p w14:paraId="265081E7" w14:textId="77777777" w:rsidR="00644DE9" w:rsidRPr="003F1B17" w:rsidRDefault="00644DE9" w:rsidP="00644DE9">
      <w:pPr>
        <w:spacing w:after="160" w:line="259" w:lineRule="auto"/>
        <w:jc w:val="both"/>
        <w:rPr>
          <w:rFonts w:asciiTheme="minorHAnsi" w:hAnsiTheme="minorHAnsi" w:cstheme="minorHAnsi"/>
          <w:color w:val="000000" w:themeColor="text1"/>
        </w:rPr>
      </w:pPr>
    </w:p>
    <w:p w14:paraId="79944804" w14:textId="77777777" w:rsidR="00644DE9" w:rsidRPr="00B4527B" w:rsidRDefault="00644DE9" w:rsidP="00B4527B">
      <w:pPr>
        <w:pStyle w:val="Titre3"/>
        <w:rPr>
          <w:rFonts w:ascii="Calibri" w:hAnsi="Calibri" w:cs="Calibri"/>
          <w:b/>
          <w:color w:val="auto"/>
          <w:sz w:val="22"/>
          <w:szCs w:val="22"/>
          <w:u w:val="single"/>
        </w:rPr>
      </w:pPr>
      <w:bookmarkStart w:id="21" w:name="_Toc471757706"/>
      <w:r w:rsidRPr="00B4527B">
        <w:rPr>
          <w:rFonts w:ascii="Calibri" w:hAnsi="Calibri" w:cs="Calibri"/>
          <w:b/>
          <w:color w:val="auto"/>
          <w:sz w:val="22"/>
          <w:szCs w:val="22"/>
          <w:u w:val="single"/>
        </w:rPr>
        <w:t>La définition des titres de participation</w:t>
      </w:r>
      <w:bookmarkEnd w:id="21"/>
      <w:r w:rsidRPr="00B4527B">
        <w:rPr>
          <w:rFonts w:ascii="Calibri" w:hAnsi="Calibri" w:cs="Calibri"/>
          <w:b/>
          <w:color w:val="auto"/>
          <w:sz w:val="22"/>
          <w:szCs w:val="22"/>
          <w:u w:val="single"/>
        </w:rPr>
        <w:t xml:space="preserve"> </w:t>
      </w:r>
    </w:p>
    <w:p w14:paraId="489BBE22" w14:textId="77777777" w:rsidR="00644DE9" w:rsidRPr="003F1B17" w:rsidRDefault="00644DE9" w:rsidP="00644DE9">
      <w:pPr>
        <w:rPr>
          <w:rFonts w:asciiTheme="minorHAnsi" w:hAnsiTheme="minorHAnsi" w:cstheme="minorHAnsi"/>
          <w:color w:val="000000" w:themeColor="text1"/>
        </w:rPr>
      </w:pPr>
    </w:p>
    <w:p w14:paraId="5B8330EB" w14:textId="0DFD9B6E" w:rsidR="00644DE9" w:rsidRPr="00FF2CDA" w:rsidRDefault="00644DE9" w:rsidP="00FF2CDA">
      <w:pPr>
        <w:spacing w:after="160" w:line="259" w:lineRule="auto"/>
        <w:jc w:val="both"/>
        <w:rPr>
          <w:rFonts w:asciiTheme="minorHAnsi" w:hAnsiTheme="minorHAnsi" w:cstheme="minorHAnsi"/>
          <w:color w:val="000000" w:themeColor="text1"/>
        </w:rPr>
      </w:pPr>
      <w:r w:rsidRPr="003F1B17">
        <w:rPr>
          <w:rFonts w:asciiTheme="minorHAnsi" w:hAnsiTheme="minorHAnsi" w:cstheme="minorHAnsi"/>
          <w:color w:val="000000" w:themeColor="text1"/>
        </w:rPr>
        <w:t xml:space="preserve">L’article R123-184 est modifié par le décret n°2015-903 du 23 juillet 2015 </w:t>
      </w:r>
      <w:r w:rsidRPr="003F1B17">
        <w:rPr>
          <w:rFonts w:asciiTheme="minorHAnsi" w:hAnsiTheme="minorHAnsi" w:cstheme="minorHAnsi"/>
          <w:bCs/>
          <w:color w:val="000000" w:themeColor="text1"/>
        </w:rPr>
        <w:t>relatif aux obligations comptables des commerçants</w:t>
      </w:r>
      <w:r w:rsidRPr="003F1B17">
        <w:rPr>
          <w:rFonts w:asciiTheme="minorHAnsi" w:hAnsiTheme="minorHAnsi" w:cstheme="minorHAnsi"/>
          <w:color w:val="000000" w:themeColor="text1"/>
        </w:rPr>
        <w:t xml:space="preserve">. Les titres représentant une fraction du capital supérieure à 10% sont </w:t>
      </w:r>
      <w:r w:rsidRPr="007C6B3E">
        <w:rPr>
          <w:rFonts w:asciiTheme="minorHAnsi" w:hAnsiTheme="minorHAnsi" w:cstheme="minorHAnsi"/>
          <w:b/>
          <w:color w:val="000000" w:themeColor="text1"/>
        </w:rPr>
        <w:t>présumés</w:t>
      </w:r>
      <w:r w:rsidRPr="003F1B17">
        <w:rPr>
          <w:rFonts w:asciiTheme="minorHAnsi" w:hAnsiTheme="minorHAnsi" w:cstheme="minorHAnsi"/>
          <w:color w:val="000000" w:themeColor="text1"/>
        </w:rPr>
        <w:t xml:space="preserve"> être des participations. </w:t>
      </w:r>
    </w:p>
    <w:p w14:paraId="52F88A5A" w14:textId="6448C751" w:rsidR="00364FBB" w:rsidRDefault="00364FBB">
      <w:pPr>
        <w:spacing w:after="160" w:line="259" w:lineRule="auto"/>
        <w:rPr>
          <w:rFonts w:asciiTheme="minorHAnsi" w:hAnsiTheme="minorHAnsi" w:cstheme="minorHAnsi"/>
          <w:color w:val="444444"/>
        </w:rPr>
      </w:pPr>
      <w:r>
        <w:rPr>
          <w:rFonts w:asciiTheme="minorHAnsi" w:hAnsiTheme="minorHAnsi" w:cstheme="minorHAnsi"/>
          <w:color w:val="444444"/>
        </w:rPr>
        <w:br w:type="page"/>
      </w:r>
    </w:p>
    <w:p w14:paraId="57134FE8" w14:textId="77777777" w:rsidR="00644DE9" w:rsidRPr="003F1B17" w:rsidRDefault="00644DE9" w:rsidP="00644DE9">
      <w:pPr>
        <w:rPr>
          <w:rFonts w:asciiTheme="minorHAnsi" w:hAnsiTheme="minorHAnsi" w:cstheme="minorHAnsi"/>
          <w:color w:val="444444"/>
        </w:rPr>
      </w:pPr>
    </w:p>
    <w:p w14:paraId="23E07683" w14:textId="77777777" w:rsidR="00644DE9" w:rsidRPr="00ED489C" w:rsidRDefault="000550A9" w:rsidP="00FF2CDA">
      <w:pPr>
        <w:pStyle w:val="Titre1"/>
        <w:rPr>
          <w:b/>
          <w:i/>
          <w:color w:val="0070C0"/>
        </w:rPr>
      </w:pPr>
      <w:hyperlink w:anchor="CAC" w:history="1">
        <w:bookmarkStart w:id="22" w:name="_Toc471757707"/>
        <w:r w:rsidR="00644DE9" w:rsidRPr="00ED489C">
          <w:rPr>
            <w:b/>
            <w:i/>
            <w:color w:val="0070C0"/>
          </w:rPr>
          <w:t>Commissariat aux comptes</w:t>
        </w:r>
        <w:bookmarkEnd w:id="22"/>
      </w:hyperlink>
    </w:p>
    <w:p w14:paraId="752F54EE" w14:textId="77777777" w:rsidR="00644DE9" w:rsidRPr="003F1B17" w:rsidRDefault="00644DE9" w:rsidP="00644DE9">
      <w:pPr>
        <w:rPr>
          <w:rFonts w:asciiTheme="minorHAnsi" w:hAnsiTheme="minorHAnsi" w:cstheme="minorHAnsi"/>
          <w:color w:val="444444"/>
        </w:rPr>
      </w:pPr>
    </w:p>
    <w:p w14:paraId="33DA2A65" w14:textId="47C917E6" w:rsidR="00644DE9" w:rsidRPr="00E14B8A" w:rsidRDefault="00E14B8A" w:rsidP="00E14B8A">
      <w:pPr>
        <w:pStyle w:val="Titre2"/>
        <w:ind w:left="708" w:hanging="348"/>
        <w:rPr>
          <w:rFonts w:asciiTheme="minorHAnsi" w:eastAsia="Times New Roman" w:hAnsiTheme="minorHAnsi" w:cstheme="minorHAnsi"/>
          <w:b/>
          <w:i/>
          <w:color w:val="auto"/>
          <w:sz w:val="24"/>
          <w:szCs w:val="24"/>
          <w:lang w:eastAsia="fr-FR"/>
        </w:rPr>
      </w:pPr>
      <w:bookmarkStart w:id="23" w:name="_Toc471757708"/>
      <w:r>
        <w:rPr>
          <w:rFonts w:asciiTheme="minorHAnsi" w:eastAsia="Times New Roman" w:hAnsiTheme="minorHAnsi" w:cstheme="minorHAnsi"/>
          <w:b/>
          <w:i/>
          <w:color w:val="auto"/>
          <w:sz w:val="24"/>
          <w:szCs w:val="24"/>
          <w:lang w:eastAsia="fr-FR"/>
        </w:rPr>
        <w:t xml:space="preserve">2.1 </w:t>
      </w:r>
      <w:r w:rsidR="00644DE9" w:rsidRPr="00E14B8A">
        <w:rPr>
          <w:rFonts w:asciiTheme="minorHAnsi" w:eastAsia="Times New Roman" w:hAnsiTheme="minorHAnsi" w:cstheme="minorHAnsi"/>
          <w:b/>
          <w:i/>
          <w:color w:val="auto"/>
          <w:sz w:val="24"/>
          <w:szCs w:val="24"/>
          <w:lang w:eastAsia="fr-FR"/>
        </w:rPr>
        <w:t xml:space="preserve">Avis technique </w:t>
      </w:r>
      <w:r w:rsidR="008B75AB">
        <w:rPr>
          <w:rFonts w:asciiTheme="minorHAnsi" w:eastAsia="Times New Roman" w:hAnsiTheme="minorHAnsi" w:cstheme="minorHAnsi"/>
          <w:b/>
          <w:i/>
          <w:color w:val="auto"/>
          <w:sz w:val="24"/>
          <w:szCs w:val="24"/>
          <w:lang w:eastAsia="fr-FR"/>
        </w:rPr>
        <w:t xml:space="preserve">de la CNCC relatif </w:t>
      </w:r>
      <w:r w:rsidR="00644DE9" w:rsidRPr="00E14B8A">
        <w:rPr>
          <w:rFonts w:asciiTheme="minorHAnsi" w:eastAsia="Times New Roman" w:hAnsiTheme="minorHAnsi" w:cstheme="minorHAnsi"/>
          <w:b/>
          <w:i/>
          <w:color w:val="auto"/>
          <w:sz w:val="24"/>
          <w:szCs w:val="24"/>
          <w:lang w:eastAsia="fr-FR"/>
        </w:rPr>
        <w:t>aux critères de représentativité au niveau d'une branche</w:t>
      </w:r>
      <w:bookmarkEnd w:id="23"/>
      <w:r w:rsidR="00644DE9" w:rsidRPr="00E14B8A">
        <w:rPr>
          <w:rFonts w:asciiTheme="minorHAnsi" w:eastAsia="Times New Roman" w:hAnsiTheme="minorHAnsi" w:cstheme="minorHAnsi"/>
          <w:b/>
          <w:i/>
          <w:color w:val="auto"/>
          <w:sz w:val="24"/>
          <w:szCs w:val="24"/>
          <w:lang w:eastAsia="fr-FR"/>
        </w:rPr>
        <w:t xml:space="preserve"> </w:t>
      </w:r>
    </w:p>
    <w:p w14:paraId="539928F3" w14:textId="77777777" w:rsidR="00644DE9" w:rsidRPr="003F1B17" w:rsidRDefault="00644DE9" w:rsidP="00644DE9">
      <w:pPr>
        <w:jc w:val="both"/>
        <w:rPr>
          <w:rFonts w:asciiTheme="minorHAnsi" w:hAnsiTheme="minorHAnsi" w:cstheme="minorHAnsi"/>
          <w:color w:val="444444"/>
        </w:rPr>
      </w:pPr>
    </w:p>
    <w:p w14:paraId="35C4DE53" w14:textId="0F30A73A" w:rsidR="00644DE9" w:rsidRDefault="00644DE9" w:rsidP="00644DE9">
      <w:pPr>
        <w:jc w:val="both"/>
        <w:rPr>
          <w:rFonts w:asciiTheme="minorHAnsi" w:hAnsiTheme="minorHAnsi" w:cstheme="minorHAnsi"/>
        </w:rPr>
      </w:pPr>
      <w:r w:rsidRPr="003F1B17">
        <w:rPr>
          <w:rFonts w:asciiTheme="minorHAnsi" w:hAnsiTheme="minorHAnsi" w:cstheme="minorHAnsi"/>
        </w:rPr>
        <w:t>La CNCC a publié un avis technique relatif à la mission du commissaire aux comptes portant sur la représentativité patronale. Cet avis tient compte des évolutions législatives et réglementaires récentes, à savoir la Loi El Khomry, le décret n°2016-1419 du 20 octobre 2016 et les arrêtés des 13 juillet 2016 et du 26 octobre 2016.</w:t>
      </w:r>
    </w:p>
    <w:p w14:paraId="588C195C" w14:textId="77777777" w:rsidR="007C6B3E" w:rsidRPr="003F1B17" w:rsidRDefault="007C6B3E" w:rsidP="00644DE9">
      <w:pPr>
        <w:jc w:val="both"/>
        <w:rPr>
          <w:rFonts w:asciiTheme="minorHAnsi" w:hAnsiTheme="minorHAnsi" w:cstheme="minorHAnsi"/>
        </w:rPr>
      </w:pPr>
    </w:p>
    <w:p w14:paraId="5C91ED25" w14:textId="77777777" w:rsidR="00644DE9" w:rsidRPr="00364FBB" w:rsidRDefault="000550A9" w:rsidP="00644DE9">
      <w:pPr>
        <w:jc w:val="both"/>
        <w:rPr>
          <w:rStyle w:val="Lienhypertexte"/>
          <w:rFonts w:asciiTheme="minorHAnsi" w:hAnsiTheme="minorHAnsi" w:cstheme="minorHAnsi"/>
          <w:b/>
        </w:rPr>
      </w:pPr>
      <w:hyperlink r:id="rId17" w:history="1">
        <w:r w:rsidR="00644DE9" w:rsidRPr="00364FBB">
          <w:rPr>
            <w:rStyle w:val="Lienhypertexte"/>
            <w:rFonts w:asciiTheme="minorHAnsi" w:hAnsiTheme="minorHAnsi" w:cstheme="minorHAnsi"/>
            <w:b/>
          </w:rPr>
          <w:t>Avis technique - attestations des CAC relatives aux critères de représentativité au niveau d'une branche</w:t>
        </w:r>
      </w:hyperlink>
    </w:p>
    <w:p w14:paraId="654379DC" w14:textId="77777777" w:rsidR="00644DE9" w:rsidRPr="003F1B17" w:rsidRDefault="00644DE9" w:rsidP="00644DE9">
      <w:pPr>
        <w:rPr>
          <w:rFonts w:asciiTheme="minorHAnsi" w:hAnsiTheme="minorHAnsi" w:cstheme="minorHAnsi"/>
          <w:color w:val="444444"/>
        </w:rPr>
      </w:pPr>
    </w:p>
    <w:p w14:paraId="68A6C975" w14:textId="77777777" w:rsidR="00644DE9" w:rsidRPr="003F1B17" w:rsidRDefault="00644DE9" w:rsidP="00644DE9">
      <w:pPr>
        <w:rPr>
          <w:rFonts w:asciiTheme="minorHAnsi" w:hAnsiTheme="minorHAnsi" w:cstheme="minorHAnsi"/>
          <w:color w:val="444444"/>
        </w:rPr>
      </w:pPr>
    </w:p>
    <w:p w14:paraId="618B73DB" w14:textId="10C6CD76" w:rsidR="00644DE9" w:rsidRPr="008B75AB" w:rsidRDefault="008B75AB" w:rsidP="008B75AB">
      <w:pPr>
        <w:pStyle w:val="Titre2"/>
        <w:ind w:left="708" w:hanging="348"/>
        <w:rPr>
          <w:rFonts w:asciiTheme="minorHAnsi" w:eastAsia="Times New Roman" w:hAnsiTheme="minorHAnsi" w:cstheme="minorHAnsi"/>
          <w:b/>
          <w:i/>
          <w:color w:val="auto"/>
          <w:sz w:val="24"/>
          <w:szCs w:val="24"/>
          <w:lang w:eastAsia="fr-FR"/>
        </w:rPr>
      </w:pPr>
      <w:bookmarkStart w:id="24" w:name="_Toc471757709"/>
      <w:r>
        <w:rPr>
          <w:rFonts w:asciiTheme="minorHAnsi" w:eastAsia="Times New Roman" w:hAnsiTheme="minorHAnsi" w:cstheme="minorHAnsi"/>
          <w:b/>
          <w:i/>
          <w:color w:val="auto"/>
          <w:sz w:val="24"/>
          <w:szCs w:val="24"/>
          <w:lang w:eastAsia="fr-FR"/>
        </w:rPr>
        <w:t xml:space="preserve">2.2 </w:t>
      </w:r>
      <w:r w:rsidR="00644DE9" w:rsidRPr="008B75AB">
        <w:rPr>
          <w:rFonts w:asciiTheme="minorHAnsi" w:eastAsia="Times New Roman" w:hAnsiTheme="minorHAnsi" w:cstheme="minorHAnsi"/>
          <w:b/>
          <w:i/>
          <w:color w:val="auto"/>
          <w:sz w:val="24"/>
          <w:szCs w:val="24"/>
          <w:lang w:eastAsia="fr-FR"/>
        </w:rPr>
        <w:t>Note de la CNCC relative aux nouvelles obligations des comités d’entreprise</w:t>
      </w:r>
      <w:bookmarkEnd w:id="24"/>
    </w:p>
    <w:p w14:paraId="3DE8770B" w14:textId="77777777" w:rsidR="00644DE9" w:rsidRPr="003F1B17" w:rsidRDefault="00644DE9" w:rsidP="00644DE9">
      <w:pPr>
        <w:rPr>
          <w:rFonts w:asciiTheme="minorHAnsi" w:hAnsiTheme="minorHAnsi" w:cstheme="minorHAnsi"/>
          <w:color w:val="444444"/>
        </w:rPr>
      </w:pPr>
    </w:p>
    <w:p w14:paraId="1A2BBCB6"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Rappel : pour les exercices ouverts depuis le 1er janvier 2016, les comités d’entreprise dépassant à la clôture d’un exercice au moins 2 des 3 seuils</w:t>
      </w:r>
      <w:r w:rsidR="00430680" w:rsidRPr="003F1B17">
        <w:rPr>
          <w:rFonts w:asciiTheme="minorHAnsi" w:hAnsiTheme="minorHAnsi" w:cstheme="minorHAnsi"/>
          <w:sz w:val="20"/>
          <w:szCs w:val="20"/>
          <w:vertAlign w:val="superscript"/>
        </w:rPr>
        <w:footnoteReference w:id="3"/>
      </w:r>
      <w:r w:rsidRPr="003F1B17">
        <w:rPr>
          <w:rFonts w:asciiTheme="minorHAnsi" w:hAnsiTheme="minorHAnsi" w:cstheme="minorHAnsi"/>
        </w:rPr>
        <w:t xml:space="preserve"> ont l’obligation de faire certifier leurs comptes par un commissaire aux comptes et un suppléant. Les comités d’entreprise soumis à l’obligation d’établir des comptes consolidés doivent nommer deux commissaires aux comptes.</w:t>
      </w:r>
    </w:p>
    <w:p w14:paraId="1AF3522F" w14:textId="77777777" w:rsidR="00644DE9" w:rsidRPr="003F1B17" w:rsidRDefault="00644DE9" w:rsidP="00644DE9">
      <w:pPr>
        <w:jc w:val="both"/>
        <w:rPr>
          <w:rFonts w:asciiTheme="minorHAnsi" w:hAnsiTheme="minorHAnsi" w:cstheme="minorHAnsi"/>
        </w:rPr>
      </w:pPr>
    </w:p>
    <w:p w14:paraId="03A4942B"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La CNCC a publié une note relative aux nouvelles obligations des comités d’entreprise, comités d’établissement, comités interentreprises, comités centraux d’entreprise et des délégations uniques de personnel soumis au contrôle légal d’un ou plusieurs CAC et mission du CAC. </w:t>
      </w:r>
    </w:p>
    <w:p w14:paraId="5BD4E6D9" w14:textId="77777777" w:rsidR="00644DE9" w:rsidRPr="003F1B17" w:rsidRDefault="00644DE9" w:rsidP="00644DE9">
      <w:pPr>
        <w:jc w:val="both"/>
        <w:rPr>
          <w:rFonts w:asciiTheme="minorHAnsi" w:hAnsiTheme="minorHAnsi" w:cstheme="minorHAnsi"/>
        </w:rPr>
      </w:pPr>
    </w:p>
    <w:p w14:paraId="11A8F9A3"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Elle a pour objectif d'informer les comités d'entreprise et leurs CAC, des obligations résultant de la loi n° 2014-288 du 5 mars 2014 relative à la formation professionnelle, à l'emploi et à la démocratie sociale.</w:t>
      </w:r>
    </w:p>
    <w:p w14:paraId="1A7D9DC9" w14:textId="77777777" w:rsidR="00644DE9" w:rsidRPr="003F1B17" w:rsidRDefault="00644DE9" w:rsidP="00644DE9">
      <w:pPr>
        <w:pStyle w:val="emphb-para1"/>
        <w:shd w:val="clear" w:color="auto" w:fill="FFFFFF"/>
        <w:rPr>
          <w:rFonts w:asciiTheme="minorHAnsi" w:hAnsiTheme="minorHAnsi" w:cstheme="minorHAnsi"/>
          <w:sz w:val="22"/>
          <w:szCs w:val="22"/>
        </w:rPr>
      </w:pPr>
    </w:p>
    <w:p w14:paraId="601AEB01" w14:textId="77777777" w:rsidR="00644DE9" w:rsidRPr="00364FBB" w:rsidRDefault="000550A9" w:rsidP="00644DE9">
      <w:pPr>
        <w:jc w:val="both"/>
        <w:rPr>
          <w:rStyle w:val="Lienhypertexte"/>
          <w:rFonts w:asciiTheme="minorHAnsi" w:hAnsiTheme="minorHAnsi" w:cstheme="minorHAnsi"/>
          <w:b/>
        </w:rPr>
      </w:pPr>
      <w:hyperlink r:id="rId18" w:history="1">
        <w:r w:rsidR="00644DE9" w:rsidRPr="00364FBB">
          <w:rPr>
            <w:rStyle w:val="Lienhypertexte"/>
            <w:rFonts w:asciiTheme="minorHAnsi" w:hAnsiTheme="minorHAnsi" w:cstheme="minorHAnsi"/>
            <w:b/>
          </w:rPr>
          <w:t>Note relative aux nouvelles obligations des comités d'entreprise, comités d'établissement, comités interentreprises, comités centraux d'entreprise et des délégations uniques de personnel soumis au contrôle légal d'un ou plusieurs CAC et mission du CAC</w:t>
        </w:r>
      </w:hyperlink>
    </w:p>
    <w:p w14:paraId="03B66E0B" w14:textId="77777777" w:rsidR="00644DE9" w:rsidRPr="003F1B17" w:rsidRDefault="00644DE9" w:rsidP="00644DE9">
      <w:pPr>
        <w:jc w:val="both"/>
        <w:rPr>
          <w:rFonts w:asciiTheme="minorHAnsi" w:hAnsiTheme="minorHAnsi" w:cstheme="minorHAnsi"/>
        </w:rPr>
      </w:pPr>
    </w:p>
    <w:p w14:paraId="08A845F6" w14:textId="77777777" w:rsidR="00644DE9" w:rsidRPr="003F1B17" w:rsidRDefault="00644DE9" w:rsidP="00644DE9">
      <w:pPr>
        <w:jc w:val="both"/>
        <w:rPr>
          <w:rFonts w:asciiTheme="minorHAnsi" w:hAnsiTheme="minorHAnsi" w:cstheme="minorHAnsi"/>
        </w:rPr>
      </w:pPr>
    </w:p>
    <w:p w14:paraId="3A90970E" w14:textId="77777777" w:rsidR="00644DE9" w:rsidRPr="00FF2CDA" w:rsidRDefault="00644DE9" w:rsidP="00FF2CDA">
      <w:pPr>
        <w:pStyle w:val="Titre1"/>
        <w:rPr>
          <w:b/>
          <w:i/>
          <w:color w:val="2E74B5" w:themeColor="accent1" w:themeShade="BF"/>
        </w:rPr>
      </w:pPr>
      <w:bookmarkStart w:id="25" w:name="_Toc471757710"/>
      <w:r w:rsidRPr="00FF2CDA">
        <w:rPr>
          <w:b/>
          <w:i/>
          <w:color w:val="2E74B5" w:themeColor="accent1" w:themeShade="BF"/>
        </w:rPr>
        <w:t>Divers</w:t>
      </w:r>
      <w:bookmarkEnd w:id="25"/>
    </w:p>
    <w:p w14:paraId="57FFBFC3" w14:textId="77777777" w:rsidR="00644DE9" w:rsidRPr="003F1B17" w:rsidRDefault="00644DE9" w:rsidP="00644DE9">
      <w:pPr>
        <w:jc w:val="both"/>
        <w:rPr>
          <w:rFonts w:asciiTheme="minorHAnsi" w:hAnsiTheme="minorHAnsi" w:cstheme="minorHAnsi"/>
        </w:rPr>
      </w:pPr>
    </w:p>
    <w:p w14:paraId="096C8737" w14:textId="1D61FA1C" w:rsidR="00644DE9" w:rsidRPr="00E14B8A" w:rsidRDefault="00E14B8A" w:rsidP="00E14B8A">
      <w:pPr>
        <w:pStyle w:val="Titre2"/>
        <w:ind w:firstLine="360"/>
        <w:rPr>
          <w:rFonts w:asciiTheme="minorHAnsi" w:eastAsia="Times New Roman" w:hAnsiTheme="minorHAnsi" w:cstheme="minorHAnsi"/>
          <w:b/>
          <w:i/>
          <w:color w:val="auto"/>
          <w:sz w:val="24"/>
          <w:szCs w:val="24"/>
          <w:lang w:eastAsia="fr-FR"/>
        </w:rPr>
      </w:pPr>
      <w:bookmarkStart w:id="26" w:name="_Toc471757711"/>
      <w:r>
        <w:rPr>
          <w:rFonts w:asciiTheme="minorHAnsi" w:eastAsia="Times New Roman" w:hAnsiTheme="minorHAnsi" w:cstheme="minorHAnsi"/>
          <w:b/>
          <w:i/>
          <w:color w:val="auto"/>
          <w:sz w:val="24"/>
          <w:szCs w:val="24"/>
          <w:lang w:eastAsia="fr-FR"/>
        </w:rPr>
        <w:t xml:space="preserve">3.1 </w:t>
      </w:r>
      <w:r w:rsidR="00644DE9" w:rsidRPr="00E14B8A">
        <w:rPr>
          <w:rFonts w:asciiTheme="minorHAnsi" w:eastAsia="Times New Roman" w:hAnsiTheme="minorHAnsi" w:cstheme="minorHAnsi"/>
          <w:b/>
          <w:i/>
          <w:color w:val="auto"/>
          <w:sz w:val="24"/>
          <w:szCs w:val="24"/>
          <w:lang w:eastAsia="fr-FR"/>
        </w:rPr>
        <w:t>Les organismes de gestion agréés</w:t>
      </w:r>
      <w:bookmarkEnd w:id="26"/>
    </w:p>
    <w:p w14:paraId="238C079F" w14:textId="77777777" w:rsidR="00644DE9" w:rsidRPr="003F1B17" w:rsidRDefault="00644DE9" w:rsidP="00644DE9">
      <w:pPr>
        <w:jc w:val="both"/>
        <w:rPr>
          <w:rFonts w:asciiTheme="minorHAnsi" w:hAnsiTheme="minorHAnsi" w:cstheme="minorHAnsi"/>
        </w:rPr>
      </w:pPr>
    </w:p>
    <w:p w14:paraId="4E0D32E8" w14:textId="1C4DF330" w:rsidR="00644DE9" w:rsidRPr="003F1B17" w:rsidRDefault="00644DE9" w:rsidP="00644DE9">
      <w:pPr>
        <w:jc w:val="both"/>
        <w:rPr>
          <w:rFonts w:asciiTheme="minorHAnsi" w:hAnsiTheme="minorHAnsi" w:cstheme="minorHAnsi"/>
        </w:rPr>
      </w:pPr>
      <w:r w:rsidRPr="003F1B17">
        <w:rPr>
          <w:rFonts w:asciiTheme="minorHAnsi" w:hAnsiTheme="minorHAnsi" w:cstheme="minorHAnsi"/>
        </w:rPr>
        <w:t xml:space="preserve">Le décret </w:t>
      </w:r>
      <w:hyperlink r:id="rId19" w:tgtFrame="_blank" w:history="1">
        <w:r w:rsidRPr="003F1B17">
          <w:rPr>
            <w:rFonts w:asciiTheme="minorHAnsi" w:hAnsiTheme="minorHAnsi" w:cstheme="minorHAnsi"/>
          </w:rPr>
          <w:t xml:space="preserve">2016-1356 </w:t>
        </w:r>
      </w:hyperlink>
      <w:r w:rsidRPr="003F1B17">
        <w:rPr>
          <w:rFonts w:asciiTheme="minorHAnsi" w:hAnsiTheme="minorHAnsi" w:cstheme="minorHAnsi"/>
        </w:rPr>
        <w:t>du 11 octobre 2016 relatif aux centres de gestion, associations et organismes mixtes de gestion agréés, aux professionnels de l’expertise comptable et aux certificateurs à l’étranger, publié au journal officiel du 13 octobre 2016 précise les modalités de mise en œuvre de la nouvelle mission qui incombe aux orga</w:t>
      </w:r>
      <w:r w:rsidR="007C6B3E">
        <w:rPr>
          <w:rFonts w:asciiTheme="minorHAnsi" w:hAnsiTheme="minorHAnsi" w:cstheme="minorHAnsi"/>
        </w:rPr>
        <w:t>nismes de gestion agréés (OGA),</w:t>
      </w:r>
      <w:r w:rsidRPr="003F1B17">
        <w:rPr>
          <w:rFonts w:asciiTheme="minorHAnsi" w:hAnsiTheme="minorHAnsi" w:cstheme="minorHAnsi"/>
        </w:rPr>
        <w:t xml:space="preserve"> aux experts-comptables autorisés à délivrer le visa fiscal et aux associations de gestion et de comptabilité (AGC).</w:t>
      </w:r>
    </w:p>
    <w:p w14:paraId="6B66C772" w14:textId="77777777" w:rsidR="00644DE9" w:rsidRPr="003F1B17" w:rsidRDefault="00644DE9" w:rsidP="00644DE9">
      <w:pPr>
        <w:jc w:val="both"/>
        <w:rPr>
          <w:rFonts w:asciiTheme="minorHAnsi" w:hAnsiTheme="minorHAnsi" w:cstheme="minorHAnsi"/>
        </w:rPr>
      </w:pPr>
    </w:p>
    <w:p w14:paraId="60FE4019"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Le déroulement de la mission d'examen périodique de sincérité des pièces justificatives instituée par la loi de finance rectificative pour 2015 est précisé. Le centre réalise un examen périodique de sincérité de pièces justificatives de ses adhérents dans le but de vérifier que leurs déclarations fiscales sont correctement établies.</w:t>
      </w:r>
    </w:p>
    <w:p w14:paraId="14EDD747" w14:textId="77777777" w:rsidR="00644DE9" w:rsidRPr="003F1B17" w:rsidRDefault="00644DE9" w:rsidP="00644DE9">
      <w:pPr>
        <w:jc w:val="both"/>
        <w:rPr>
          <w:rFonts w:asciiTheme="minorHAnsi" w:hAnsiTheme="minorHAnsi" w:cstheme="minorHAnsi"/>
        </w:rPr>
      </w:pPr>
    </w:p>
    <w:p w14:paraId="03686A41"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L’examen suit une méthode établie par l’OGA ou l’expert-comptable autorisé pour l’ensemble de ses clients ou adhérents. Cet examen sera réalisé :</w:t>
      </w:r>
    </w:p>
    <w:p w14:paraId="57C10093" w14:textId="77777777" w:rsidR="00644DE9" w:rsidRPr="003F1B17" w:rsidRDefault="00644DE9" w:rsidP="00644DE9">
      <w:pPr>
        <w:pStyle w:val="Paragraphedeliste"/>
        <w:numPr>
          <w:ilvl w:val="0"/>
          <w:numId w:val="1"/>
        </w:numPr>
        <w:jc w:val="both"/>
        <w:rPr>
          <w:rFonts w:asciiTheme="minorHAnsi" w:hAnsiTheme="minorHAnsi" w:cstheme="minorHAnsi"/>
        </w:rPr>
      </w:pPr>
      <w:r w:rsidRPr="003F1B17">
        <w:rPr>
          <w:rFonts w:asciiTheme="minorHAnsi" w:hAnsiTheme="minorHAnsi" w:cstheme="minorHAnsi"/>
        </w:rPr>
        <w:t xml:space="preserve">au moins tous les 6 ans lorsque les comptes de l'adhérent sont tenus ou présentés annuellement par un professionnel de l'expertise comptable ; </w:t>
      </w:r>
    </w:p>
    <w:p w14:paraId="223FF3C0" w14:textId="77777777" w:rsidR="00644DE9" w:rsidRPr="003F1B17" w:rsidRDefault="00644DE9" w:rsidP="00644DE9">
      <w:pPr>
        <w:pStyle w:val="Paragraphedeliste"/>
        <w:numPr>
          <w:ilvl w:val="0"/>
          <w:numId w:val="1"/>
        </w:numPr>
        <w:jc w:val="both"/>
        <w:rPr>
          <w:rFonts w:asciiTheme="minorHAnsi" w:hAnsiTheme="minorHAnsi" w:cstheme="minorHAnsi"/>
        </w:rPr>
      </w:pPr>
      <w:r w:rsidRPr="003F1B17">
        <w:rPr>
          <w:rFonts w:asciiTheme="minorHAnsi" w:hAnsiTheme="minorHAnsi" w:cstheme="minorHAnsi"/>
        </w:rPr>
        <w:t xml:space="preserve">et au moins tous les 3 ans dans le cas contraire. </w:t>
      </w:r>
    </w:p>
    <w:p w14:paraId="0A76D941" w14:textId="2C895CC5" w:rsidR="00644DE9" w:rsidRPr="003F1B17" w:rsidRDefault="00644DE9" w:rsidP="00644DE9">
      <w:pPr>
        <w:jc w:val="both"/>
        <w:rPr>
          <w:rFonts w:asciiTheme="minorHAnsi" w:hAnsiTheme="minorHAnsi" w:cstheme="minorHAnsi"/>
        </w:rPr>
      </w:pPr>
      <w:r w:rsidRPr="003F1B17">
        <w:rPr>
          <w:rFonts w:asciiTheme="minorHAnsi" w:hAnsiTheme="minorHAnsi" w:cstheme="minorHAnsi"/>
        </w:rPr>
        <w:t>La sélection des dossiers se fera selon une méthode qui sera fixée par un arrêté.</w:t>
      </w:r>
      <w:r w:rsidR="00EB0B9B">
        <w:rPr>
          <w:rFonts w:asciiTheme="minorHAnsi" w:hAnsiTheme="minorHAnsi" w:cstheme="minorHAnsi"/>
        </w:rPr>
        <w:t xml:space="preserve"> Cet examen ne constitue pas un « début de contrôle fiscal ». </w:t>
      </w:r>
    </w:p>
    <w:p w14:paraId="0C79578D" w14:textId="77777777" w:rsidR="00644DE9" w:rsidRPr="003F1B17" w:rsidRDefault="00644DE9" w:rsidP="00644DE9">
      <w:pPr>
        <w:jc w:val="both"/>
        <w:rPr>
          <w:rFonts w:asciiTheme="minorHAnsi" w:hAnsiTheme="minorHAnsi" w:cstheme="minorHAnsi"/>
        </w:rPr>
      </w:pPr>
    </w:p>
    <w:p w14:paraId="262073E5"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 xml:space="preserve">Le nombre des pièces examinées dépend de la taille de l'entreprise. Le choix des pièces examinées prend appui sur la remise, par l'adhérent, d'un document fournissant une vision exhaustive des opérations comptables de l'entreprise. </w:t>
      </w:r>
      <w:r w:rsidR="00430680" w:rsidRPr="003F1B17">
        <w:rPr>
          <w:rFonts w:asciiTheme="minorHAnsi" w:hAnsiTheme="minorHAnsi" w:cstheme="minorHAnsi"/>
        </w:rPr>
        <w:t>Il</w:t>
      </w:r>
      <w:r w:rsidRPr="003F1B17">
        <w:rPr>
          <w:rFonts w:asciiTheme="minorHAnsi" w:hAnsiTheme="minorHAnsi" w:cstheme="minorHAnsi"/>
        </w:rPr>
        <w:t xml:space="preserve"> est détruit par le centre une fois l'examen réalisé. Il n'est en aucun cas fourni à l'administration fiscale. L'adhérent est mis en mesure de présenter ses observations en réponse aux éventuelles questions et critiques formulées par le centre dans le cadre de cet examen.</w:t>
      </w:r>
    </w:p>
    <w:p w14:paraId="460AF075" w14:textId="77777777" w:rsidR="00644DE9" w:rsidRPr="003F1B17" w:rsidRDefault="00644DE9" w:rsidP="00644DE9">
      <w:pPr>
        <w:jc w:val="both"/>
        <w:rPr>
          <w:rStyle w:val="lev"/>
          <w:rFonts w:asciiTheme="minorHAnsi" w:hAnsiTheme="minorHAnsi" w:cstheme="minorHAnsi"/>
        </w:rPr>
      </w:pPr>
    </w:p>
    <w:p w14:paraId="2CB7914C" w14:textId="77777777" w:rsidR="00644DE9" w:rsidRPr="00364FBB" w:rsidRDefault="000550A9" w:rsidP="00644DE9">
      <w:pPr>
        <w:jc w:val="both"/>
        <w:rPr>
          <w:rFonts w:asciiTheme="minorHAnsi" w:hAnsiTheme="minorHAnsi" w:cstheme="minorHAnsi"/>
          <w:b/>
        </w:rPr>
      </w:pPr>
      <w:hyperlink r:id="rId20" w:history="1">
        <w:r w:rsidR="00644DE9" w:rsidRPr="00364FBB">
          <w:rPr>
            <w:rStyle w:val="Lienhypertexte"/>
            <w:rFonts w:asciiTheme="minorHAnsi" w:hAnsiTheme="minorHAnsi" w:cstheme="minorHAnsi"/>
            <w:b/>
          </w:rPr>
          <w:t>Décret n°2016-1356 du 11 octobre 2016 relatif aux centres de gestion, associations et organismes mixtes de gestion agréés, aux professionnels de l'expertise comptable et aux certificateurs à l'étranger</w:t>
        </w:r>
      </w:hyperlink>
    </w:p>
    <w:p w14:paraId="194DCD74" w14:textId="77777777" w:rsidR="00644DE9" w:rsidRPr="003F1B17" w:rsidRDefault="00644DE9" w:rsidP="00644DE9">
      <w:pPr>
        <w:jc w:val="both"/>
        <w:rPr>
          <w:rFonts w:asciiTheme="minorHAnsi" w:hAnsiTheme="minorHAnsi" w:cstheme="minorHAnsi"/>
        </w:rPr>
      </w:pPr>
    </w:p>
    <w:p w14:paraId="3073747B" w14:textId="0CDB2F37" w:rsidR="00644DE9" w:rsidRPr="003F1B17" w:rsidRDefault="00644DE9" w:rsidP="00644DE9">
      <w:pPr>
        <w:jc w:val="both"/>
        <w:rPr>
          <w:rFonts w:asciiTheme="minorHAnsi" w:hAnsiTheme="minorHAnsi" w:cstheme="minorHAnsi"/>
        </w:rPr>
      </w:pPr>
    </w:p>
    <w:p w14:paraId="58486960" w14:textId="4B92C76B" w:rsidR="00644DE9" w:rsidRPr="00E14B8A" w:rsidRDefault="00E14B8A" w:rsidP="00E14B8A">
      <w:pPr>
        <w:pStyle w:val="Titre2"/>
        <w:ind w:firstLine="360"/>
        <w:rPr>
          <w:rFonts w:asciiTheme="minorHAnsi" w:eastAsia="Times New Roman" w:hAnsiTheme="minorHAnsi" w:cstheme="minorHAnsi"/>
          <w:b/>
          <w:i/>
          <w:color w:val="auto"/>
          <w:sz w:val="24"/>
          <w:szCs w:val="24"/>
          <w:lang w:eastAsia="fr-FR"/>
        </w:rPr>
      </w:pPr>
      <w:bookmarkStart w:id="27" w:name="_Toc471757712"/>
      <w:r>
        <w:rPr>
          <w:rFonts w:asciiTheme="minorHAnsi" w:eastAsia="Times New Roman" w:hAnsiTheme="minorHAnsi" w:cstheme="minorHAnsi"/>
          <w:b/>
          <w:i/>
          <w:color w:val="auto"/>
          <w:sz w:val="24"/>
          <w:szCs w:val="24"/>
          <w:lang w:eastAsia="fr-FR"/>
        </w:rPr>
        <w:t>3.2</w:t>
      </w:r>
      <w:r>
        <w:rPr>
          <w:rFonts w:asciiTheme="minorHAnsi" w:eastAsia="Times New Roman" w:hAnsiTheme="minorHAnsi" w:cstheme="minorHAnsi"/>
          <w:b/>
          <w:i/>
          <w:color w:val="auto"/>
          <w:sz w:val="24"/>
          <w:szCs w:val="24"/>
          <w:lang w:eastAsia="fr-FR"/>
        </w:rPr>
        <w:tab/>
      </w:r>
      <w:r w:rsidR="00644DE9" w:rsidRPr="00E14B8A">
        <w:rPr>
          <w:rFonts w:asciiTheme="minorHAnsi" w:eastAsia="Times New Roman" w:hAnsiTheme="minorHAnsi" w:cstheme="minorHAnsi"/>
          <w:b/>
          <w:i/>
          <w:color w:val="auto"/>
          <w:sz w:val="24"/>
          <w:szCs w:val="24"/>
          <w:lang w:eastAsia="fr-FR"/>
        </w:rPr>
        <w:t>Le rapport de gestion : nouvelles informations à fournir</w:t>
      </w:r>
      <w:bookmarkEnd w:id="27"/>
      <w:r w:rsidR="00644DE9" w:rsidRPr="00E14B8A">
        <w:rPr>
          <w:rFonts w:asciiTheme="minorHAnsi" w:eastAsia="Times New Roman" w:hAnsiTheme="minorHAnsi" w:cstheme="minorHAnsi"/>
          <w:b/>
          <w:i/>
          <w:color w:val="auto"/>
          <w:sz w:val="24"/>
          <w:szCs w:val="24"/>
          <w:lang w:eastAsia="fr-FR"/>
        </w:rPr>
        <w:t xml:space="preserve"> </w:t>
      </w:r>
    </w:p>
    <w:p w14:paraId="6CFF67C8" w14:textId="77777777" w:rsidR="00644DE9" w:rsidRPr="003F1B17" w:rsidRDefault="00644DE9" w:rsidP="00644DE9">
      <w:pPr>
        <w:jc w:val="both"/>
        <w:rPr>
          <w:rFonts w:asciiTheme="minorHAnsi" w:hAnsiTheme="minorHAnsi" w:cstheme="minorHAnsi"/>
        </w:rPr>
      </w:pPr>
    </w:p>
    <w:p w14:paraId="1D3D50AE"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Le décret n° 2016-1138 du 19 août 2016 publié au journal officiel du 19 août 2016 précise et met à jour la liste des informations RSE à fournir dans le rapport de gestion par les sociétés cotées et les sociétés non cotées dépassant certains seuils</w:t>
      </w:r>
      <w:r w:rsidRPr="003F1B17">
        <w:rPr>
          <w:rStyle w:val="Appelnotedebasdep"/>
          <w:rFonts w:asciiTheme="minorHAnsi" w:hAnsiTheme="minorHAnsi" w:cstheme="minorHAnsi"/>
        </w:rPr>
        <w:footnoteReference w:id="4"/>
      </w:r>
      <w:r w:rsidRPr="003F1B17">
        <w:rPr>
          <w:rFonts w:asciiTheme="minorHAnsi" w:hAnsiTheme="minorHAnsi" w:cstheme="minorHAnsi"/>
        </w:rPr>
        <w:t xml:space="preserve">. </w:t>
      </w:r>
    </w:p>
    <w:p w14:paraId="544CE1C6" w14:textId="77777777" w:rsidR="00644DE9" w:rsidRPr="003F1B17" w:rsidRDefault="00644DE9" w:rsidP="00644DE9">
      <w:pPr>
        <w:jc w:val="both"/>
        <w:rPr>
          <w:rFonts w:asciiTheme="minorHAnsi" w:hAnsiTheme="minorHAnsi" w:cstheme="minorHAnsi"/>
        </w:rPr>
      </w:pPr>
    </w:p>
    <w:p w14:paraId="247E5C79" w14:textId="59082693" w:rsidR="00644DE9" w:rsidRPr="003F1B17" w:rsidRDefault="004E1BC1" w:rsidP="00644DE9">
      <w:pPr>
        <w:jc w:val="both"/>
        <w:rPr>
          <w:rFonts w:asciiTheme="minorHAnsi" w:hAnsiTheme="minorHAnsi" w:cstheme="minorHAnsi"/>
        </w:rPr>
      </w:pPr>
      <w:r>
        <w:rPr>
          <w:rFonts w:asciiTheme="minorHAnsi" w:hAnsiTheme="minorHAnsi" w:cstheme="minorHAnsi"/>
        </w:rPr>
        <w:t>Les</w:t>
      </w:r>
      <w:r w:rsidR="00582368" w:rsidRPr="00582368">
        <w:rPr>
          <w:rFonts w:asciiTheme="minorHAnsi" w:hAnsiTheme="minorHAnsi" w:cstheme="minorHAnsi"/>
        </w:rPr>
        <w:t xml:space="preserve"> socié</w:t>
      </w:r>
      <w:r w:rsidR="00582368">
        <w:rPr>
          <w:rFonts w:asciiTheme="minorHAnsi" w:hAnsiTheme="minorHAnsi" w:cstheme="minorHAnsi"/>
        </w:rPr>
        <w:t>tés concernées doivent</w:t>
      </w:r>
      <w:r w:rsidR="00582368" w:rsidRPr="00582368">
        <w:rPr>
          <w:rFonts w:asciiTheme="minorHAnsi" w:hAnsiTheme="minorHAnsi" w:cstheme="minorHAnsi"/>
        </w:rPr>
        <w:t xml:space="preserve"> indiquer dans </w:t>
      </w:r>
      <w:r w:rsidR="006A1BB1">
        <w:rPr>
          <w:rFonts w:asciiTheme="minorHAnsi" w:hAnsiTheme="minorHAnsi" w:cstheme="minorHAnsi"/>
        </w:rPr>
        <w:t xml:space="preserve">une rubrique « économie circulaire » de </w:t>
      </w:r>
      <w:r w:rsidR="00582368" w:rsidRPr="00582368">
        <w:rPr>
          <w:rFonts w:asciiTheme="minorHAnsi" w:hAnsiTheme="minorHAnsi" w:cstheme="minorHAnsi"/>
        </w:rPr>
        <w:t>leur rapport de gestio</w:t>
      </w:r>
      <w:r w:rsidR="006A1BB1">
        <w:rPr>
          <w:rFonts w:asciiTheme="minorHAnsi" w:hAnsiTheme="minorHAnsi" w:cstheme="minorHAnsi"/>
        </w:rPr>
        <w:t xml:space="preserve">n </w:t>
      </w:r>
      <w:r w:rsidR="00582368" w:rsidRPr="00582368">
        <w:rPr>
          <w:rFonts w:asciiTheme="minorHAnsi" w:hAnsiTheme="minorHAnsi" w:cstheme="minorHAnsi"/>
        </w:rPr>
        <w:t>(</w:t>
      </w:r>
      <w:hyperlink r:id="rId21" w:history="1">
        <w:r w:rsidR="00582368" w:rsidRPr="00582368">
          <w:rPr>
            <w:rFonts w:asciiTheme="minorHAnsi" w:hAnsiTheme="minorHAnsi" w:cstheme="minorHAnsi"/>
          </w:rPr>
          <w:t>art</w:t>
        </w:r>
        <w:r w:rsidR="00582368">
          <w:rPr>
            <w:rFonts w:asciiTheme="minorHAnsi" w:hAnsiTheme="minorHAnsi" w:cstheme="minorHAnsi"/>
          </w:rPr>
          <w:t>icle</w:t>
        </w:r>
        <w:r w:rsidR="00582368" w:rsidRPr="00582368">
          <w:rPr>
            <w:rFonts w:asciiTheme="minorHAnsi" w:hAnsiTheme="minorHAnsi" w:cstheme="minorHAnsi"/>
          </w:rPr>
          <w:t>. R 225-105-1</w:t>
        </w:r>
      </w:hyperlink>
      <w:r w:rsidR="00582368" w:rsidRPr="00582368">
        <w:rPr>
          <w:rFonts w:asciiTheme="minorHAnsi" w:hAnsiTheme="minorHAnsi" w:cstheme="minorHAnsi"/>
        </w:rPr>
        <w:t xml:space="preserve"> </w:t>
      </w:r>
      <w:r w:rsidR="00582368">
        <w:rPr>
          <w:rFonts w:asciiTheme="minorHAnsi" w:hAnsiTheme="minorHAnsi" w:cstheme="minorHAnsi"/>
        </w:rPr>
        <w:t xml:space="preserve">du code de commerce), les informations </w:t>
      </w:r>
      <w:r w:rsidR="00644DE9" w:rsidRPr="003F1B17">
        <w:rPr>
          <w:rFonts w:asciiTheme="minorHAnsi" w:hAnsiTheme="minorHAnsi" w:cstheme="minorHAnsi"/>
        </w:rPr>
        <w:t xml:space="preserve">relatives à l’économie circulaire et au changement climatique </w:t>
      </w:r>
      <w:r w:rsidR="00582368">
        <w:rPr>
          <w:rFonts w:asciiTheme="minorHAnsi" w:hAnsiTheme="minorHAnsi" w:cstheme="minorHAnsi"/>
        </w:rPr>
        <w:t xml:space="preserve">qui </w:t>
      </w:r>
      <w:r w:rsidR="00644DE9" w:rsidRPr="003F1B17">
        <w:rPr>
          <w:rFonts w:asciiTheme="minorHAnsi" w:hAnsiTheme="minorHAnsi" w:cstheme="minorHAnsi"/>
        </w:rPr>
        <w:t>portent sur :</w:t>
      </w:r>
    </w:p>
    <w:p w14:paraId="1EAE44E2" w14:textId="13E4A094" w:rsidR="00644DE9" w:rsidRPr="003F1B17" w:rsidRDefault="006A1BB1" w:rsidP="00644DE9">
      <w:pPr>
        <w:pStyle w:val="Paragraphedeliste"/>
        <w:numPr>
          <w:ilvl w:val="0"/>
          <w:numId w:val="1"/>
        </w:numPr>
        <w:jc w:val="both"/>
        <w:rPr>
          <w:rFonts w:asciiTheme="minorHAnsi" w:hAnsiTheme="minorHAnsi" w:cstheme="minorHAnsi"/>
        </w:rPr>
      </w:pPr>
      <w:r>
        <w:rPr>
          <w:rFonts w:asciiTheme="minorHAnsi" w:hAnsiTheme="minorHAnsi" w:cstheme="minorHAnsi"/>
        </w:rPr>
        <w:t>L</w:t>
      </w:r>
      <w:r w:rsidR="00644DE9" w:rsidRPr="003F1B17">
        <w:rPr>
          <w:rFonts w:asciiTheme="minorHAnsi" w:hAnsiTheme="minorHAnsi" w:cstheme="minorHAnsi"/>
        </w:rPr>
        <w:t>es mesures de prévention, de recyclage, de réutilisation, d’autres formes de valorisation et d’élimination des déchets ;</w:t>
      </w:r>
    </w:p>
    <w:p w14:paraId="1E954B0D" w14:textId="17F60D6D" w:rsidR="00644DE9" w:rsidRDefault="006A1BB1" w:rsidP="00644DE9">
      <w:pPr>
        <w:pStyle w:val="Paragraphedeliste"/>
        <w:numPr>
          <w:ilvl w:val="0"/>
          <w:numId w:val="1"/>
        </w:numPr>
        <w:jc w:val="both"/>
        <w:rPr>
          <w:rFonts w:asciiTheme="minorHAnsi" w:hAnsiTheme="minorHAnsi" w:cstheme="minorHAnsi"/>
        </w:rPr>
      </w:pPr>
      <w:r>
        <w:rPr>
          <w:rFonts w:asciiTheme="minorHAnsi" w:hAnsiTheme="minorHAnsi" w:cstheme="minorHAnsi"/>
        </w:rPr>
        <w:t>L</w:t>
      </w:r>
      <w:r w:rsidR="00644DE9" w:rsidRPr="003F1B17">
        <w:rPr>
          <w:rFonts w:asciiTheme="minorHAnsi" w:hAnsiTheme="minorHAnsi" w:cstheme="minorHAnsi"/>
        </w:rPr>
        <w:t>es actions de lutte co</w:t>
      </w:r>
      <w:r>
        <w:rPr>
          <w:rFonts w:asciiTheme="minorHAnsi" w:hAnsiTheme="minorHAnsi" w:cstheme="minorHAnsi"/>
        </w:rPr>
        <w:t xml:space="preserve">ntre le gaspillage alimentaire. </w:t>
      </w:r>
    </w:p>
    <w:p w14:paraId="1A046B2F" w14:textId="584905C8" w:rsidR="00582368" w:rsidRDefault="00582368" w:rsidP="00582368">
      <w:pPr>
        <w:jc w:val="both"/>
        <w:rPr>
          <w:rFonts w:asciiTheme="minorHAnsi" w:hAnsiTheme="minorHAnsi" w:cstheme="minorHAnsi"/>
        </w:rPr>
      </w:pPr>
    </w:p>
    <w:p w14:paraId="046FA021" w14:textId="78B2FE1C" w:rsidR="00582368" w:rsidRPr="00582368" w:rsidRDefault="006A1BB1" w:rsidP="00582368">
      <w:pPr>
        <w:jc w:val="both"/>
        <w:rPr>
          <w:rFonts w:asciiTheme="minorHAnsi" w:hAnsiTheme="minorHAnsi" w:cstheme="minorHAnsi"/>
        </w:rPr>
      </w:pPr>
      <w:r>
        <w:rPr>
          <w:rFonts w:asciiTheme="minorHAnsi" w:hAnsiTheme="minorHAnsi" w:cstheme="minorHAnsi"/>
        </w:rPr>
        <w:t xml:space="preserve">Pour les </w:t>
      </w:r>
      <w:r w:rsidRPr="006A1BB1">
        <w:rPr>
          <w:rFonts w:asciiTheme="minorHAnsi" w:hAnsiTheme="minorHAnsi" w:cstheme="minorHAnsi"/>
          <w:b/>
          <w:bCs/>
        </w:rPr>
        <w:t>exercices ouverts à compter du 1</w:t>
      </w:r>
      <w:r w:rsidRPr="006A1BB1">
        <w:rPr>
          <w:rFonts w:asciiTheme="minorHAnsi" w:hAnsiTheme="minorHAnsi" w:cstheme="minorHAnsi"/>
          <w:b/>
          <w:bCs/>
          <w:vertAlign w:val="superscript"/>
        </w:rPr>
        <w:t>er</w:t>
      </w:r>
      <w:r w:rsidRPr="006A1BB1">
        <w:rPr>
          <w:rFonts w:asciiTheme="minorHAnsi" w:hAnsiTheme="minorHAnsi" w:cstheme="minorHAnsi"/>
          <w:b/>
          <w:bCs/>
        </w:rPr>
        <w:t> janvier 2016</w:t>
      </w:r>
      <w:r w:rsidRPr="006A1BB1">
        <w:rPr>
          <w:rFonts w:asciiTheme="minorHAnsi" w:hAnsiTheme="minorHAnsi" w:cstheme="minorHAnsi"/>
        </w:rPr>
        <w:t xml:space="preserve">, les sociétés </w:t>
      </w:r>
      <w:r w:rsidR="00E64D78">
        <w:rPr>
          <w:rFonts w:asciiTheme="minorHAnsi" w:hAnsiTheme="minorHAnsi" w:cstheme="minorHAnsi"/>
        </w:rPr>
        <w:t>doivent également</w:t>
      </w:r>
      <w:r w:rsidRPr="006A1BB1">
        <w:rPr>
          <w:rFonts w:asciiTheme="minorHAnsi" w:hAnsiTheme="minorHAnsi" w:cstheme="minorHAnsi"/>
        </w:rPr>
        <w:t xml:space="preserve"> indiquer les </w:t>
      </w:r>
      <w:r w:rsidRPr="006A1BB1">
        <w:rPr>
          <w:rFonts w:asciiTheme="minorHAnsi" w:hAnsiTheme="minorHAnsi" w:cstheme="minorHAnsi"/>
          <w:b/>
          <w:bCs/>
        </w:rPr>
        <w:t>postes significatifs d’émission de gaz à effet de serre générés du fait de leur activité</w:t>
      </w:r>
      <w:r w:rsidRPr="006A1BB1">
        <w:rPr>
          <w:rFonts w:asciiTheme="minorHAnsi" w:hAnsiTheme="minorHAnsi" w:cstheme="minorHAnsi"/>
        </w:rPr>
        <w:t>, notamment par l’usage des biens et services qu’elles produisent (</w:t>
      </w:r>
      <w:hyperlink r:id="rId22" w:history="1">
        <w:r w:rsidRPr="006A1BB1">
          <w:rPr>
            <w:rFonts w:asciiTheme="minorHAnsi" w:hAnsiTheme="minorHAnsi" w:cstheme="minorHAnsi"/>
          </w:rPr>
          <w:t>C. com. art</w:t>
        </w:r>
        <w:r>
          <w:rPr>
            <w:rFonts w:asciiTheme="minorHAnsi" w:hAnsiTheme="minorHAnsi" w:cstheme="minorHAnsi"/>
          </w:rPr>
          <w:t>icle</w:t>
        </w:r>
        <w:r w:rsidRPr="006A1BB1">
          <w:rPr>
            <w:rFonts w:asciiTheme="minorHAnsi" w:hAnsiTheme="minorHAnsi" w:cstheme="minorHAnsi"/>
          </w:rPr>
          <w:t> R</w:t>
        </w:r>
        <w:r>
          <w:rPr>
            <w:rFonts w:asciiTheme="minorHAnsi" w:hAnsiTheme="minorHAnsi" w:cstheme="minorHAnsi"/>
          </w:rPr>
          <w:t>.</w:t>
        </w:r>
        <w:r w:rsidRPr="006A1BB1">
          <w:rPr>
            <w:rFonts w:asciiTheme="minorHAnsi" w:hAnsiTheme="minorHAnsi" w:cstheme="minorHAnsi"/>
          </w:rPr>
          <w:t> 225-105-1</w:t>
        </w:r>
      </w:hyperlink>
      <w:r w:rsidRPr="006A1BB1">
        <w:rPr>
          <w:rFonts w:asciiTheme="minorHAnsi" w:hAnsiTheme="minorHAnsi" w:cstheme="minorHAnsi"/>
        </w:rPr>
        <w:t xml:space="preserve"> </w:t>
      </w:r>
      <w:r>
        <w:rPr>
          <w:rFonts w:asciiTheme="minorHAnsi" w:hAnsiTheme="minorHAnsi" w:cstheme="minorHAnsi"/>
        </w:rPr>
        <w:t>du code de commerce</w:t>
      </w:r>
      <w:r w:rsidRPr="006A1BB1">
        <w:rPr>
          <w:rFonts w:asciiTheme="minorHAnsi" w:hAnsiTheme="minorHAnsi" w:cstheme="minorHAnsi"/>
        </w:rPr>
        <w:t>).</w:t>
      </w:r>
    </w:p>
    <w:p w14:paraId="4732164B" w14:textId="41304FB5" w:rsidR="00644DE9" w:rsidRDefault="00644DE9" w:rsidP="00644DE9">
      <w:pPr>
        <w:jc w:val="both"/>
        <w:rPr>
          <w:rFonts w:asciiTheme="minorHAnsi" w:hAnsiTheme="minorHAnsi" w:cstheme="minorHAnsi"/>
        </w:rPr>
      </w:pPr>
    </w:p>
    <w:p w14:paraId="756E9B22" w14:textId="77777777" w:rsidR="00364FBB" w:rsidRPr="003F1B17" w:rsidRDefault="00364FBB" w:rsidP="00644DE9">
      <w:pPr>
        <w:jc w:val="both"/>
        <w:rPr>
          <w:rFonts w:asciiTheme="minorHAnsi" w:hAnsiTheme="minorHAnsi" w:cstheme="minorHAnsi"/>
        </w:rPr>
      </w:pPr>
    </w:p>
    <w:p w14:paraId="678E1276" w14:textId="03514E6C" w:rsidR="00644DE9" w:rsidRPr="00E14B8A" w:rsidRDefault="00E14B8A" w:rsidP="00E14B8A">
      <w:pPr>
        <w:pStyle w:val="Titre2"/>
        <w:ind w:firstLine="360"/>
        <w:rPr>
          <w:rFonts w:asciiTheme="minorHAnsi" w:eastAsia="Times New Roman" w:hAnsiTheme="minorHAnsi" w:cstheme="minorHAnsi"/>
          <w:b/>
          <w:i/>
          <w:color w:val="auto"/>
          <w:sz w:val="24"/>
          <w:szCs w:val="24"/>
          <w:lang w:eastAsia="fr-FR"/>
        </w:rPr>
      </w:pPr>
      <w:bookmarkStart w:id="28" w:name="_Toc471757713"/>
      <w:r>
        <w:rPr>
          <w:rFonts w:asciiTheme="minorHAnsi" w:eastAsia="Times New Roman" w:hAnsiTheme="minorHAnsi" w:cstheme="minorHAnsi"/>
          <w:b/>
          <w:i/>
          <w:color w:val="auto"/>
          <w:sz w:val="24"/>
          <w:szCs w:val="24"/>
          <w:lang w:eastAsia="fr-FR"/>
        </w:rPr>
        <w:t xml:space="preserve">3.3 </w:t>
      </w:r>
      <w:r w:rsidR="00644DE9" w:rsidRPr="00E14B8A">
        <w:rPr>
          <w:rFonts w:asciiTheme="minorHAnsi" w:eastAsia="Times New Roman" w:hAnsiTheme="minorHAnsi" w:cstheme="minorHAnsi"/>
          <w:b/>
          <w:i/>
          <w:color w:val="auto"/>
          <w:sz w:val="24"/>
          <w:szCs w:val="24"/>
          <w:lang w:eastAsia="fr-FR"/>
        </w:rPr>
        <w:t>Les sociétés pluri-professionnelles d'exercice (SPE)</w:t>
      </w:r>
      <w:bookmarkEnd w:id="28"/>
    </w:p>
    <w:p w14:paraId="50672331" w14:textId="77777777" w:rsidR="00644DE9" w:rsidRPr="003F1B17" w:rsidRDefault="00644DE9" w:rsidP="00644DE9">
      <w:pPr>
        <w:jc w:val="both"/>
        <w:rPr>
          <w:rFonts w:asciiTheme="minorHAnsi" w:hAnsiTheme="minorHAnsi" w:cstheme="minorHAnsi"/>
        </w:rPr>
      </w:pPr>
    </w:p>
    <w:p w14:paraId="1FBDDEFA"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 xml:space="preserve">L’ordonnance n°2016-394 du 31 mars 2016 publiée au journal officiel du 1er avril 2016 permet la création de sociétés pluri-professionnelles d’exercice (SPE) au sein desquelles notaires, avocats, avocats au Conseil d’Etat et à la Cour de cassation, commissaires-priseurs judiciaires, huissiers de justice, administrateurs et mandataires judiciaires, conseils en propriété industrielle et experts-comptables peuvent exercer ensemble. Il est à noter que les commissaires aux comptes ne sont pas concernés par l’inter-professionnalité. </w:t>
      </w:r>
    </w:p>
    <w:p w14:paraId="521FDDEF" w14:textId="77777777" w:rsidR="00644DE9" w:rsidRPr="003F1B17" w:rsidRDefault="00644DE9" w:rsidP="00644DE9">
      <w:pPr>
        <w:jc w:val="both"/>
        <w:rPr>
          <w:rFonts w:asciiTheme="minorHAnsi" w:hAnsiTheme="minorHAnsi" w:cstheme="minorHAnsi"/>
        </w:rPr>
      </w:pPr>
    </w:p>
    <w:p w14:paraId="2B91EDBF"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 xml:space="preserve">Les SPE pourront être constituées sous la forme de SARL, SAS, SA ou de société civile. </w:t>
      </w:r>
    </w:p>
    <w:p w14:paraId="185A7CA6" w14:textId="77777777" w:rsidR="00644DE9" w:rsidRPr="003F1B17" w:rsidRDefault="00644DE9" w:rsidP="00644DE9">
      <w:pPr>
        <w:jc w:val="both"/>
        <w:rPr>
          <w:rFonts w:asciiTheme="minorHAnsi" w:hAnsiTheme="minorHAnsi" w:cstheme="minorHAnsi"/>
        </w:rPr>
      </w:pPr>
    </w:p>
    <w:p w14:paraId="626CB1FC"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 xml:space="preserve">Elles devront comprendre, parmi leurs associés, au moins un membre de chacune des professions qu'elles exercent. </w:t>
      </w:r>
    </w:p>
    <w:p w14:paraId="7EF50DE6" w14:textId="77777777" w:rsidR="00644DE9" w:rsidRPr="003F1B17" w:rsidRDefault="00644DE9" w:rsidP="00644DE9">
      <w:pPr>
        <w:jc w:val="both"/>
        <w:rPr>
          <w:rFonts w:asciiTheme="minorHAnsi" w:hAnsiTheme="minorHAnsi" w:cstheme="minorHAnsi"/>
        </w:rPr>
      </w:pPr>
    </w:p>
    <w:p w14:paraId="1A232C57"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La totalité du capital et des droits de vote devra être détenue par :</w:t>
      </w:r>
    </w:p>
    <w:p w14:paraId="5268BBC7" w14:textId="781970E9" w:rsidR="00644DE9" w:rsidRPr="003F1B17" w:rsidRDefault="004E1BC1" w:rsidP="00644DE9">
      <w:pPr>
        <w:pStyle w:val="Paragraphedeliste"/>
        <w:numPr>
          <w:ilvl w:val="0"/>
          <w:numId w:val="1"/>
        </w:numPr>
        <w:jc w:val="both"/>
        <w:rPr>
          <w:rFonts w:asciiTheme="minorHAnsi" w:hAnsiTheme="minorHAnsi" w:cstheme="minorHAnsi"/>
        </w:rPr>
      </w:pPr>
      <w:r>
        <w:rPr>
          <w:rFonts w:asciiTheme="minorHAnsi" w:hAnsiTheme="minorHAnsi" w:cstheme="minorHAnsi"/>
        </w:rPr>
        <w:t>D</w:t>
      </w:r>
      <w:r w:rsidR="00644DE9" w:rsidRPr="003F1B17">
        <w:rPr>
          <w:rFonts w:asciiTheme="minorHAnsi" w:hAnsiTheme="minorHAnsi" w:cstheme="minorHAnsi"/>
        </w:rPr>
        <w:t xml:space="preserve">es personnes physiques exerçant l'une des professions exercées en commun au sein de la société ; </w:t>
      </w:r>
    </w:p>
    <w:p w14:paraId="16F8A7A6" w14:textId="77777777" w:rsidR="00644DE9" w:rsidRPr="003F1B17" w:rsidRDefault="00644DE9" w:rsidP="00644DE9">
      <w:pPr>
        <w:pStyle w:val="Paragraphedeliste"/>
        <w:numPr>
          <w:ilvl w:val="0"/>
          <w:numId w:val="1"/>
        </w:numPr>
        <w:jc w:val="both"/>
        <w:rPr>
          <w:rFonts w:asciiTheme="minorHAnsi" w:hAnsiTheme="minorHAnsi" w:cstheme="minorHAnsi"/>
        </w:rPr>
      </w:pPr>
      <w:r w:rsidRPr="003F1B17">
        <w:rPr>
          <w:rFonts w:asciiTheme="minorHAnsi" w:hAnsiTheme="minorHAnsi" w:cstheme="minorHAnsi"/>
        </w:rPr>
        <w:t xml:space="preserve">Toute personne morale dont la totalité du capital et des droits de vote est détenue directement ou indirectement par des personnes physiques exerçant l’une des professions exercées en commun dans la société ; </w:t>
      </w:r>
    </w:p>
    <w:p w14:paraId="5C44436D" w14:textId="77777777" w:rsidR="00644DE9" w:rsidRPr="003F1B17" w:rsidRDefault="00644DE9" w:rsidP="00644DE9">
      <w:pPr>
        <w:pStyle w:val="Paragraphedeliste"/>
        <w:numPr>
          <w:ilvl w:val="0"/>
          <w:numId w:val="1"/>
        </w:numPr>
        <w:jc w:val="both"/>
        <w:rPr>
          <w:rFonts w:asciiTheme="minorHAnsi" w:hAnsiTheme="minorHAnsi" w:cstheme="minorHAnsi"/>
        </w:rPr>
      </w:pPr>
      <w:r w:rsidRPr="003F1B17">
        <w:rPr>
          <w:rFonts w:asciiTheme="minorHAnsi" w:hAnsiTheme="minorHAnsi" w:cstheme="minorHAnsi"/>
        </w:rPr>
        <w:t>Toute personne physique ou morale établie dans l’UE, dans un l’Espace économique européen ou en Suisse.</w:t>
      </w:r>
    </w:p>
    <w:p w14:paraId="41DB884F" w14:textId="77777777" w:rsidR="00644DE9" w:rsidRPr="003F1B17" w:rsidRDefault="00644DE9" w:rsidP="00644DE9">
      <w:pPr>
        <w:spacing w:before="100" w:beforeAutospacing="1" w:after="240"/>
        <w:rPr>
          <w:rFonts w:asciiTheme="minorHAnsi" w:hAnsiTheme="minorHAnsi" w:cstheme="minorHAnsi"/>
        </w:rPr>
      </w:pPr>
      <w:r w:rsidRPr="003F1B17">
        <w:rPr>
          <w:rFonts w:asciiTheme="minorHAnsi" w:hAnsiTheme="minorHAnsi" w:cstheme="minorHAnsi"/>
        </w:rPr>
        <w:t>Les statuts de la SPE devront garantir l'indépendance de l'exercice professionnel des associés et des salariés et le respect des dispositions réglementaires encadrant l'exercice de chacune des professions.</w:t>
      </w:r>
    </w:p>
    <w:p w14:paraId="1E092521" w14:textId="77777777" w:rsidR="00644DE9" w:rsidRPr="003F1B17" w:rsidRDefault="00644DE9" w:rsidP="00644DE9">
      <w:pPr>
        <w:jc w:val="both"/>
        <w:rPr>
          <w:rFonts w:asciiTheme="minorHAnsi" w:hAnsiTheme="minorHAnsi" w:cstheme="minorHAnsi"/>
        </w:rPr>
      </w:pPr>
      <w:r w:rsidRPr="003F1B17">
        <w:rPr>
          <w:rFonts w:asciiTheme="minorHAnsi" w:hAnsiTheme="minorHAnsi" w:cstheme="minorHAnsi"/>
        </w:rPr>
        <w:t>Des décrets d’application pris au plus tard le 1</w:t>
      </w:r>
      <w:r w:rsidRPr="003F1B17">
        <w:rPr>
          <w:rFonts w:asciiTheme="minorHAnsi" w:hAnsiTheme="minorHAnsi" w:cstheme="minorHAnsi"/>
          <w:vertAlign w:val="superscript"/>
        </w:rPr>
        <w:t>er</w:t>
      </w:r>
      <w:r w:rsidRPr="003F1B17">
        <w:rPr>
          <w:rFonts w:asciiTheme="minorHAnsi" w:hAnsiTheme="minorHAnsi" w:cstheme="minorHAnsi"/>
        </w:rPr>
        <w:t> juillet 2017 devront fixer notamment les modalités de fonctionnement des SPE.</w:t>
      </w:r>
    </w:p>
    <w:p w14:paraId="5FE22214" w14:textId="77777777" w:rsidR="00644DE9" w:rsidRPr="003F1B17" w:rsidRDefault="00644DE9" w:rsidP="00644DE9">
      <w:pPr>
        <w:jc w:val="both"/>
        <w:rPr>
          <w:rStyle w:val="lev"/>
          <w:rFonts w:asciiTheme="minorHAnsi" w:hAnsiTheme="minorHAnsi" w:cstheme="minorHAnsi"/>
        </w:rPr>
      </w:pPr>
    </w:p>
    <w:p w14:paraId="014230DC" w14:textId="77777777" w:rsidR="00644DE9" w:rsidRPr="00364FBB" w:rsidRDefault="000550A9" w:rsidP="00644DE9">
      <w:pPr>
        <w:jc w:val="both"/>
        <w:rPr>
          <w:rFonts w:asciiTheme="minorHAnsi" w:hAnsiTheme="minorHAnsi" w:cstheme="minorHAnsi"/>
          <w:b/>
        </w:rPr>
      </w:pPr>
      <w:hyperlink r:id="rId23" w:history="1">
        <w:r w:rsidR="00644DE9" w:rsidRPr="00364FBB">
          <w:rPr>
            <w:rStyle w:val="Lienhypertexte"/>
            <w:rFonts w:asciiTheme="minorHAnsi" w:hAnsiTheme="minorHAnsi" w:cstheme="minorHAnsi"/>
            <w:b/>
          </w:rPr>
          <w:t>Ordonnance n°2016-394 du 31 mars 2016 relative aux sociétés constituées pour l'exercice en commun de plusieurs professions libérales soumises à un statut législatif ou réglementaire ou dont le titre est protégé</w:t>
        </w:r>
      </w:hyperlink>
    </w:p>
    <w:p w14:paraId="6359285C" w14:textId="77777777" w:rsidR="001C20D2" w:rsidRPr="003F1B17" w:rsidRDefault="001C20D2" w:rsidP="00644DE9">
      <w:pPr>
        <w:rPr>
          <w:rFonts w:asciiTheme="minorHAnsi" w:hAnsiTheme="minorHAnsi" w:cstheme="minorHAnsi"/>
        </w:rPr>
      </w:pPr>
    </w:p>
    <w:sectPr w:rsidR="001C20D2" w:rsidRPr="003F1B17" w:rsidSect="003F1B17">
      <w:headerReference w:type="default" r:id="rId24"/>
      <w:footerReference w:type="default" r:id="rId25"/>
      <w:pgSz w:w="11906" w:h="16838" w:code="9"/>
      <w:pgMar w:top="851" w:right="1418" w:bottom="1418" w:left="1418" w:header="425"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7FF91" w14:textId="77777777" w:rsidR="000550A9" w:rsidRDefault="000550A9" w:rsidP="00644DE9">
      <w:r>
        <w:separator/>
      </w:r>
    </w:p>
  </w:endnote>
  <w:endnote w:type="continuationSeparator" w:id="0">
    <w:p w14:paraId="4352A52E" w14:textId="77777777" w:rsidR="000550A9" w:rsidRDefault="000550A9" w:rsidP="00644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573B9B" w14:textId="499F9644" w:rsidR="0051551C" w:rsidRPr="003F1B17" w:rsidRDefault="0051551C" w:rsidP="0078616F">
    <w:pPr>
      <w:pStyle w:val="Pieddepage"/>
      <w:rPr>
        <w:rFonts w:ascii="Arial" w:hAnsi="Arial" w:cs="Arial"/>
        <w:sz w:val="16"/>
        <w:szCs w:val="16"/>
      </w:rPr>
    </w:pPr>
    <w:r>
      <w:rPr>
        <w:rFonts w:ascii="Arial" w:hAnsi="Arial" w:cs="Arial"/>
        <w:sz w:val="16"/>
        <w:szCs w:val="16"/>
      </w:rPr>
      <w:t>Veille comptable 2016-2</w:t>
    </w:r>
    <w:r w:rsidRPr="003F1B17">
      <w:rPr>
        <w:rFonts w:ascii="Arial" w:hAnsi="Arial" w:cs="Arial"/>
        <w:sz w:val="16"/>
        <w:szCs w:val="16"/>
      </w:rPr>
      <w:tab/>
    </w:r>
    <w:r w:rsidRPr="003F1B17">
      <w:rPr>
        <w:rFonts w:ascii="Arial" w:hAnsi="Arial" w:cs="Arial"/>
        <w:sz w:val="16"/>
        <w:szCs w:val="16"/>
      </w:rPr>
      <w:tab/>
      <w:t xml:space="preserve">page </w:t>
    </w:r>
    <w:r w:rsidRPr="003F1B17">
      <w:rPr>
        <w:rFonts w:ascii="Arial" w:hAnsi="Arial" w:cs="Arial"/>
        <w:sz w:val="16"/>
        <w:szCs w:val="16"/>
      </w:rPr>
      <w:fldChar w:fldCharType="begin"/>
    </w:r>
    <w:r w:rsidRPr="003F1B17">
      <w:rPr>
        <w:rFonts w:ascii="Arial" w:hAnsi="Arial" w:cs="Arial"/>
        <w:sz w:val="16"/>
        <w:szCs w:val="16"/>
      </w:rPr>
      <w:instrText xml:space="preserve"> PAGE   \* MERGEFORMAT </w:instrText>
    </w:r>
    <w:r w:rsidRPr="003F1B17">
      <w:rPr>
        <w:rFonts w:ascii="Arial" w:hAnsi="Arial" w:cs="Arial"/>
        <w:sz w:val="16"/>
        <w:szCs w:val="16"/>
      </w:rPr>
      <w:fldChar w:fldCharType="separate"/>
    </w:r>
    <w:r w:rsidR="000550A9">
      <w:rPr>
        <w:rFonts w:ascii="Arial" w:hAnsi="Arial" w:cs="Arial"/>
        <w:noProof/>
        <w:sz w:val="16"/>
        <w:szCs w:val="16"/>
      </w:rPr>
      <w:t>1</w:t>
    </w:r>
    <w:r w:rsidRPr="003F1B17">
      <w:rPr>
        <w:rFonts w:ascii="Arial" w:hAnsi="Arial" w:cs="Arial"/>
        <w:sz w:val="16"/>
        <w:szCs w:val="16"/>
      </w:rPr>
      <w:fldChar w:fldCharType="end"/>
    </w:r>
    <w:r w:rsidRPr="003F1B17">
      <w:rPr>
        <w:rFonts w:ascii="Arial" w:hAnsi="Arial" w:cs="Arial"/>
        <w:sz w:val="16"/>
        <w:szCs w:val="16"/>
      </w:rPr>
      <w:t>/</w:t>
    </w:r>
    <w:r w:rsidRPr="003F1B17">
      <w:rPr>
        <w:rFonts w:ascii="Arial" w:hAnsi="Arial" w:cs="Arial"/>
        <w:sz w:val="16"/>
        <w:szCs w:val="16"/>
      </w:rPr>
      <w:fldChar w:fldCharType="begin"/>
    </w:r>
    <w:r w:rsidRPr="003F1B17">
      <w:rPr>
        <w:rFonts w:ascii="Arial" w:hAnsi="Arial" w:cs="Arial"/>
        <w:sz w:val="16"/>
        <w:szCs w:val="16"/>
      </w:rPr>
      <w:instrText xml:space="preserve"> NUMPAGES   \* MERGEFORMAT </w:instrText>
    </w:r>
    <w:r w:rsidRPr="003F1B17">
      <w:rPr>
        <w:rFonts w:ascii="Arial" w:hAnsi="Arial" w:cs="Arial"/>
        <w:sz w:val="16"/>
        <w:szCs w:val="16"/>
      </w:rPr>
      <w:fldChar w:fldCharType="separate"/>
    </w:r>
    <w:r w:rsidR="000550A9">
      <w:rPr>
        <w:rFonts w:ascii="Arial" w:hAnsi="Arial" w:cs="Arial"/>
        <w:noProof/>
        <w:sz w:val="16"/>
        <w:szCs w:val="16"/>
      </w:rPr>
      <w:t>1</w:t>
    </w:r>
    <w:r w:rsidRPr="003F1B17">
      <w:rPr>
        <w:rFonts w:ascii="Arial" w:hAnsi="Arial" w:cs="Arial"/>
        <w:sz w:val="16"/>
        <w:szCs w:val="16"/>
      </w:rPr>
      <w:fldChar w:fldCharType="end"/>
    </w:r>
  </w:p>
  <w:p w14:paraId="4452D3B6" w14:textId="6661EA23" w:rsidR="0051551C" w:rsidRPr="003F1B17" w:rsidRDefault="000550A9" w:rsidP="003F1B17">
    <w:pPr>
      <w:pStyle w:val="Pieddepage"/>
      <w:jc w:val="center"/>
      <w:rPr>
        <w:rFonts w:ascii="Arial" w:hAnsi="Arial" w:cs="Arial"/>
        <w:sz w:val="16"/>
        <w:szCs w:val="16"/>
      </w:rPr>
    </w:pPr>
    <w:hyperlink r:id="rId1" w:history="1">
      <w:r w:rsidR="0051551C" w:rsidRPr="003F1B17">
        <w:rPr>
          <w:rFonts w:ascii="Arial" w:hAnsi="Arial" w:cs="Arial"/>
          <w:sz w:val="16"/>
          <w:szCs w:val="16"/>
        </w:rPr>
        <w:fldChar w:fldCharType="begin"/>
      </w:r>
      <w:r w:rsidR="0051551C" w:rsidRPr="003F1B17">
        <w:rPr>
          <w:rFonts w:ascii="Arial" w:hAnsi="Arial" w:cs="Arial"/>
          <w:sz w:val="16"/>
          <w:szCs w:val="16"/>
        </w:rPr>
        <w:instrText xml:space="preserve"> INCLUDEPICTURE "https://i.creativecommons.org/l/by-nc-sa/4.0/80x15.png" \* MERGEFORMATINET </w:instrText>
      </w:r>
      <w:r w:rsidR="0051551C" w:rsidRPr="003F1B17">
        <w:rPr>
          <w:rFonts w:ascii="Arial" w:hAnsi="Arial" w:cs="Arial"/>
          <w:sz w:val="16"/>
          <w:szCs w:val="16"/>
        </w:rPr>
        <w:fldChar w:fldCharType="separate"/>
      </w:r>
      <w:r w:rsidR="0051551C">
        <w:rPr>
          <w:rFonts w:ascii="Arial" w:hAnsi="Arial" w:cs="Arial"/>
          <w:sz w:val="16"/>
          <w:szCs w:val="16"/>
        </w:rPr>
        <w:fldChar w:fldCharType="begin"/>
      </w:r>
      <w:r w:rsidR="0051551C">
        <w:rPr>
          <w:rFonts w:ascii="Arial" w:hAnsi="Arial" w:cs="Arial"/>
          <w:sz w:val="16"/>
          <w:szCs w:val="16"/>
        </w:rPr>
        <w:instrText xml:space="preserve"> INCLUDEPICTURE  "https://i.creativecommons.org/l/by-nc-sa/4.0/80x15.png" \* MERGEFORMATINET </w:instrText>
      </w:r>
      <w:r w:rsidR="0051551C">
        <w:rPr>
          <w:rFonts w:ascii="Arial" w:hAnsi="Arial" w:cs="Arial"/>
          <w:sz w:val="16"/>
          <w:szCs w:val="16"/>
        </w:rPr>
        <w:fldChar w:fldCharType="separate"/>
      </w:r>
      <w:r w:rsidR="0051551C">
        <w:rPr>
          <w:rFonts w:ascii="Arial" w:hAnsi="Arial" w:cs="Arial"/>
          <w:sz w:val="16"/>
          <w:szCs w:val="16"/>
        </w:rPr>
        <w:fldChar w:fldCharType="begin"/>
      </w:r>
      <w:r w:rsidR="0051551C">
        <w:rPr>
          <w:rFonts w:ascii="Arial" w:hAnsi="Arial" w:cs="Arial"/>
          <w:sz w:val="16"/>
          <w:szCs w:val="16"/>
        </w:rPr>
        <w:instrText xml:space="preserve"> INCLUDEPICTURE  "https://i.creativecommons.org/l/by-nc-sa/4.0/80x15.png" \* MERGEFORMATINET </w:instrText>
      </w:r>
      <w:r w:rsidR="0051551C">
        <w:rPr>
          <w:rFonts w:ascii="Arial" w:hAnsi="Arial" w:cs="Arial"/>
          <w:sz w:val="16"/>
          <w:szCs w:val="16"/>
        </w:rPr>
        <w:fldChar w:fldCharType="separate"/>
      </w:r>
      <w:r w:rsidR="0051551C">
        <w:rPr>
          <w:rFonts w:ascii="Arial" w:hAnsi="Arial" w:cs="Arial"/>
          <w:sz w:val="16"/>
          <w:szCs w:val="16"/>
        </w:rPr>
        <w:fldChar w:fldCharType="begin"/>
      </w:r>
      <w:r w:rsidR="0051551C">
        <w:rPr>
          <w:rFonts w:ascii="Arial" w:hAnsi="Arial" w:cs="Arial"/>
          <w:sz w:val="16"/>
          <w:szCs w:val="16"/>
        </w:rPr>
        <w:instrText xml:space="preserve"> INCLUDEPICTURE  "https://i.creativecommons.org/l/by-nc-sa/4.0/80x15.png" \* MERGEFORMATINET </w:instrText>
      </w:r>
      <w:r w:rsidR="0051551C">
        <w:rPr>
          <w:rFonts w:ascii="Arial" w:hAnsi="Arial" w:cs="Arial"/>
          <w:sz w:val="16"/>
          <w:szCs w:val="16"/>
        </w:rPr>
        <w:fldChar w:fldCharType="separate"/>
      </w:r>
      <w:r w:rsidR="0051551C">
        <w:rPr>
          <w:rFonts w:ascii="Arial" w:hAnsi="Arial" w:cs="Arial"/>
          <w:sz w:val="16"/>
          <w:szCs w:val="16"/>
        </w:rPr>
        <w:fldChar w:fldCharType="begin"/>
      </w:r>
      <w:r w:rsidR="0051551C">
        <w:rPr>
          <w:rFonts w:ascii="Arial" w:hAnsi="Arial" w:cs="Arial"/>
          <w:sz w:val="16"/>
          <w:szCs w:val="16"/>
        </w:rPr>
        <w:instrText xml:space="preserve"> INCLUDEPICTURE  "https://i.creativecommons.org/l/by-nc-sa/4.0/80x15.png" \* MERGEFORMATINET </w:instrText>
      </w:r>
      <w:r w:rsidR="0051551C">
        <w:rPr>
          <w:rFonts w:ascii="Arial" w:hAnsi="Arial" w:cs="Arial"/>
          <w:sz w:val="16"/>
          <w:szCs w:val="16"/>
        </w:rPr>
        <w:fldChar w:fldCharType="separate"/>
      </w:r>
      <w:r w:rsidR="0051551C">
        <w:rPr>
          <w:rFonts w:ascii="Arial" w:hAnsi="Arial" w:cs="Arial"/>
          <w:sz w:val="16"/>
          <w:szCs w:val="16"/>
        </w:rPr>
        <w:fldChar w:fldCharType="begin"/>
      </w:r>
      <w:r w:rsidR="0051551C">
        <w:rPr>
          <w:rFonts w:ascii="Arial" w:hAnsi="Arial" w:cs="Arial"/>
          <w:sz w:val="16"/>
          <w:szCs w:val="16"/>
        </w:rPr>
        <w:instrText xml:space="preserve"> INCLUDEPICTURE  "https://i.creativecommons.org/l/by-nc-sa/4.0/80x15.png" \* MERGEFORMATINET </w:instrText>
      </w:r>
      <w:r w:rsidR="0051551C">
        <w:rPr>
          <w:rFonts w:ascii="Arial" w:hAnsi="Arial" w:cs="Arial"/>
          <w:sz w:val="16"/>
          <w:szCs w:val="16"/>
        </w:rPr>
        <w:fldChar w:fldCharType="separate"/>
      </w:r>
      <w:r w:rsidR="00164256">
        <w:rPr>
          <w:rFonts w:ascii="Arial" w:hAnsi="Arial" w:cs="Arial"/>
          <w:sz w:val="16"/>
          <w:szCs w:val="16"/>
        </w:rPr>
        <w:fldChar w:fldCharType="begin"/>
      </w:r>
      <w:r w:rsidR="00164256">
        <w:rPr>
          <w:rFonts w:ascii="Arial" w:hAnsi="Arial" w:cs="Arial"/>
          <w:sz w:val="16"/>
          <w:szCs w:val="16"/>
        </w:rPr>
        <w:instrText xml:space="preserve"> INCLUDEPICTURE  "https://i.creativecommons.org/l/by-nc-sa/4.0/80x15.png" \* MERGEFORMATINET </w:instrText>
      </w:r>
      <w:r w:rsidR="00164256">
        <w:rPr>
          <w:rFonts w:ascii="Arial" w:hAnsi="Arial" w:cs="Arial"/>
          <w:sz w:val="16"/>
          <w:szCs w:val="16"/>
        </w:rPr>
        <w:fldChar w:fldCharType="separate"/>
      </w:r>
      <w:r w:rsidR="00501CE6">
        <w:rPr>
          <w:rFonts w:ascii="Arial" w:hAnsi="Arial" w:cs="Arial"/>
          <w:sz w:val="16"/>
          <w:szCs w:val="16"/>
        </w:rPr>
        <w:fldChar w:fldCharType="begin"/>
      </w:r>
      <w:r w:rsidR="00501CE6">
        <w:rPr>
          <w:rFonts w:ascii="Arial" w:hAnsi="Arial" w:cs="Arial"/>
          <w:sz w:val="16"/>
          <w:szCs w:val="16"/>
        </w:rPr>
        <w:instrText xml:space="preserve"> INCLUDEPICTURE  "https://i.creativecommons.org/l/by-nc-sa/4.0/80x15.png" \* MERGEFORMATINET </w:instrText>
      </w:r>
      <w:r w:rsidR="00501CE6">
        <w:rPr>
          <w:rFonts w:ascii="Arial" w:hAnsi="Arial" w:cs="Arial"/>
          <w:sz w:val="16"/>
          <w:szCs w:val="16"/>
        </w:rPr>
        <w:fldChar w:fldCharType="separate"/>
      </w:r>
      <w:r w:rsidR="001F10AA">
        <w:rPr>
          <w:rFonts w:ascii="Arial" w:hAnsi="Arial" w:cs="Arial"/>
          <w:sz w:val="16"/>
          <w:szCs w:val="16"/>
        </w:rPr>
        <w:fldChar w:fldCharType="begin"/>
      </w:r>
      <w:r w:rsidR="001F10AA">
        <w:rPr>
          <w:rFonts w:ascii="Arial" w:hAnsi="Arial" w:cs="Arial"/>
          <w:sz w:val="16"/>
          <w:szCs w:val="16"/>
        </w:rPr>
        <w:instrText xml:space="preserve"> INCLUDEPICTURE  "https://i.creativecommons.org/l/by-nc-sa/4.0/80x15.png" \* MERGEFORMATINET </w:instrText>
      </w:r>
      <w:r w:rsidR="001F10AA">
        <w:rPr>
          <w:rFonts w:ascii="Arial" w:hAnsi="Arial" w:cs="Arial"/>
          <w:sz w:val="16"/>
          <w:szCs w:val="16"/>
        </w:rPr>
        <w:fldChar w:fldCharType="separate"/>
      </w:r>
      <w:r>
        <w:rPr>
          <w:rFonts w:ascii="Arial" w:hAnsi="Arial" w:cs="Arial"/>
          <w:sz w:val="16"/>
          <w:szCs w:val="16"/>
        </w:rPr>
        <w:fldChar w:fldCharType="begin"/>
      </w:r>
      <w:r>
        <w:rPr>
          <w:rFonts w:ascii="Arial" w:hAnsi="Arial" w:cs="Arial"/>
          <w:sz w:val="16"/>
          <w:szCs w:val="16"/>
        </w:rPr>
        <w:instrText xml:space="preserve"> </w:instrText>
      </w:r>
      <w:r>
        <w:rPr>
          <w:rFonts w:ascii="Arial" w:hAnsi="Arial" w:cs="Arial"/>
          <w:sz w:val="16"/>
          <w:szCs w:val="16"/>
        </w:rPr>
        <w:instrText>INCLUDEPICTURE  "https://i.creativecommons.org/l/by-nc-sa/4.0/80x15.png" \* MERGEFORMATINET</w:instrText>
      </w:r>
      <w:r>
        <w:rPr>
          <w:rFonts w:ascii="Arial" w:hAnsi="Arial" w:cs="Arial"/>
          <w:sz w:val="16"/>
          <w:szCs w:val="16"/>
        </w:rPr>
        <w:instrText xml:space="preserve"> </w:instrText>
      </w:r>
      <w:r>
        <w:rPr>
          <w:rFonts w:ascii="Arial" w:hAnsi="Arial" w:cs="Arial"/>
          <w:sz w:val="16"/>
          <w:szCs w:val="16"/>
        </w:rPr>
        <w:fldChar w:fldCharType="separate"/>
      </w:r>
      <w:r>
        <w:rPr>
          <w:rFonts w:ascii="Arial" w:hAnsi="Arial" w:cs="Arial"/>
          <w:sz w:val="16"/>
          <w:szCs w:val="16"/>
        </w:rPr>
        <w:pict w14:anchorId="54313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Licence Creative Commons" style="width:60pt;height:11.1pt" o:ole="">
            <v:imagedata r:id="rId2" r:href="rId3"/>
          </v:shape>
        </w:pict>
      </w:r>
      <w:r>
        <w:rPr>
          <w:rFonts w:ascii="Arial" w:hAnsi="Arial" w:cs="Arial"/>
          <w:sz w:val="16"/>
          <w:szCs w:val="16"/>
        </w:rPr>
        <w:fldChar w:fldCharType="end"/>
      </w:r>
      <w:r w:rsidR="001F10AA">
        <w:rPr>
          <w:rFonts w:ascii="Arial" w:hAnsi="Arial" w:cs="Arial"/>
          <w:sz w:val="16"/>
          <w:szCs w:val="16"/>
        </w:rPr>
        <w:fldChar w:fldCharType="end"/>
      </w:r>
      <w:r w:rsidR="00501CE6">
        <w:rPr>
          <w:rFonts w:ascii="Arial" w:hAnsi="Arial" w:cs="Arial"/>
          <w:sz w:val="16"/>
          <w:szCs w:val="16"/>
        </w:rPr>
        <w:fldChar w:fldCharType="end"/>
      </w:r>
      <w:r w:rsidR="00164256">
        <w:rPr>
          <w:rFonts w:ascii="Arial" w:hAnsi="Arial" w:cs="Arial"/>
          <w:sz w:val="16"/>
          <w:szCs w:val="16"/>
        </w:rPr>
        <w:fldChar w:fldCharType="end"/>
      </w:r>
      <w:r w:rsidR="0051551C">
        <w:rPr>
          <w:rFonts w:ascii="Arial" w:hAnsi="Arial" w:cs="Arial"/>
          <w:sz w:val="16"/>
          <w:szCs w:val="16"/>
        </w:rPr>
        <w:fldChar w:fldCharType="end"/>
      </w:r>
      <w:r w:rsidR="0051551C">
        <w:rPr>
          <w:rFonts w:ascii="Arial" w:hAnsi="Arial" w:cs="Arial"/>
          <w:sz w:val="16"/>
          <w:szCs w:val="16"/>
        </w:rPr>
        <w:fldChar w:fldCharType="end"/>
      </w:r>
      <w:r w:rsidR="0051551C">
        <w:rPr>
          <w:rFonts w:ascii="Arial" w:hAnsi="Arial" w:cs="Arial"/>
          <w:sz w:val="16"/>
          <w:szCs w:val="16"/>
        </w:rPr>
        <w:fldChar w:fldCharType="end"/>
      </w:r>
      <w:r w:rsidR="0051551C">
        <w:rPr>
          <w:rFonts w:ascii="Arial" w:hAnsi="Arial" w:cs="Arial"/>
          <w:sz w:val="16"/>
          <w:szCs w:val="16"/>
        </w:rPr>
        <w:fldChar w:fldCharType="end"/>
      </w:r>
      <w:r w:rsidR="0051551C">
        <w:rPr>
          <w:rFonts w:ascii="Arial" w:hAnsi="Arial" w:cs="Arial"/>
          <w:sz w:val="16"/>
          <w:szCs w:val="16"/>
        </w:rPr>
        <w:fldChar w:fldCharType="end"/>
      </w:r>
      <w:r w:rsidR="0051551C" w:rsidRPr="003F1B17">
        <w:rPr>
          <w:rFonts w:ascii="Arial" w:hAnsi="Arial" w:cs="Arial"/>
          <w:sz w:val="16"/>
          <w:szCs w:val="16"/>
        </w:rPr>
        <w:fldChar w:fldCharType="end"/>
      </w:r>
    </w:hyperlink>
    <w:r w:rsidR="0051551C" w:rsidRPr="003F1B17">
      <w:rPr>
        <w:rFonts w:ascii="Arial" w:hAnsi="Arial" w:cs="Arial"/>
        <w:sz w:val="16"/>
        <w:szCs w:val="16"/>
      </w:rPr>
      <w:t xml:space="preserve"> Réseau CRCF - Ministère de l'Éducation nationale - </w:t>
    </w:r>
    <w:hyperlink r:id="rId4" w:history="1">
      <w:r w:rsidR="0051551C" w:rsidRPr="003F1B17">
        <w:rPr>
          <w:rStyle w:val="Lienhypertexte"/>
          <w:rFonts w:ascii="Arial" w:hAnsi="Arial" w:cs="Arial"/>
          <w:sz w:val="16"/>
          <w:szCs w:val="16"/>
        </w:rPr>
        <w:t>http://crcf.ac-grenoble.fr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1755F" w14:textId="77777777" w:rsidR="000550A9" w:rsidRDefault="000550A9" w:rsidP="00644DE9">
      <w:r>
        <w:separator/>
      </w:r>
    </w:p>
  </w:footnote>
  <w:footnote w:type="continuationSeparator" w:id="0">
    <w:p w14:paraId="2FB2BFAB" w14:textId="77777777" w:rsidR="000550A9" w:rsidRDefault="000550A9" w:rsidP="00644DE9">
      <w:r>
        <w:continuationSeparator/>
      </w:r>
    </w:p>
  </w:footnote>
  <w:footnote w:id="1">
    <w:p w14:paraId="7FC0ED8F" w14:textId="77777777" w:rsidR="0051551C" w:rsidRPr="008B06E3" w:rsidRDefault="0051551C" w:rsidP="00A67ABC">
      <w:pPr>
        <w:pStyle w:val="Notedebasdepage"/>
        <w:jc w:val="both"/>
      </w:pPr>
      <w:r w:rsidRPr="008B06E3">
        <w:rPr>
          <w:rStyle w:val="Appelnotedebasdep"/>
        </w:rPr>
        <w:footnoteRef/>
      </w:r>
      <w:r w:rsidRPr="008B06E3">
        <w:t xml:space="preserve"> </w:t>
      </w:r>
      <w:r w:rsidRPr="008B06E3">
        <w:rPr>
          <w:color w:val="000000" w:themeColor="text1"/>
        </w:rPr>
        <w:t>Par exemples : indices externes tels que la valeur de marché, les taux d’intérêts ou externes comme l’obsolescence, les changements importants d’utilisation…</w:t>
      </w:r>
    </w:p>
  </w:footnote>
  <w:footnote w:id="2">
    <w:p w14:paraId="276688CD" w14:textId="77777777" w:rsidR="0051551C" w:rsidRPr="00DA042D" w:rsidRDefault="0051551C" w:rsidP="00644DE9">
      <w:pPr>
        <w:spacing w:after="160" w:line="259" w:lineRule="auto"/>
        <w:jc w:val="both"/>
        <w:rPr>
          <w:color w:val="000000" w:themeColor="text1"/>
          <w:sz w:val="18"/>
          <w:szCs w:val="18"/>
        </w:rPr>
      </w:pPr>
      <w:r w:rsidRPr="00F7366C">
        <w:rPr>
          <w:rStyle w:val="Appelnotedebasdep"/>
          <w:sz w:val="18"/>
          <w:szCs w:val="18"/>
        </w:rPr>
        <w:footnoteRef/>
      </w:r>
      <w:r w:rsidRPr="00F7366C">
        <w:rPr>
          <w:sz w:val="18"/>
          <w:szCs w:val="18"/>
        </w:rPr>
        <w:t xml:space="preserve"> </w:t>
      </w:r>
      <w:r w:rsidRPr="00F7366C">
        <w:rPr>
          <w:color w:val="000000"/>
          <w:sz w:val="18"/>
          <w:szCs w:val="18"/>
        </w:rPr>
        <w:t>Les petites entreprises sont celles qui réunissent 2 critères parmi les 3 suivants (</w:t>
      </w:r>
      <w:r w:rsidRPr="00F7366C">
        <w:rPr>
          <w:color w:val="000000" w:themeColor="text1"/>
          <w:sz w:val="18"/>
          <w:szCs w:val="18"/>
        </w:rPr>
        <w:t xml:space="preserve">c. com. </w:t>
      </w:r>
      <w:hyperlink r:id="rId1" w:tgtFrame="_blank" w:history="1">
        <w:r w:rsidRPr="00F7366C">
          <w:rPr>
            <w:color w:val="000000" w:themeColor="text1"/>
            <w:sz w:val="18"/>
            <w:szCs w:val="18"/>
          </w:rPr>
          <w:t>art. L. 123-16</w:t>
        </w:r>
      </w:hyperlink>
      <w:r w:rsidRPr="00F7366C">
        <w:rPr>
          <w:color w:val="000000" w:themeColor="text1"/>
          <w:sz w:val="18"/>
          <w:szCs w:val="18"/>
        </w:rPr>
        <w:t xml:space="preserve"> et </w:t>
      </w:r>
      <w:hyperlink r:id="rId2" w:tgtFrame="_blank" w:history="1">
        <w:r w:rsidRPr="00F7366C">
          <w:rPr>
            <w:color w:val="000000" w:themeColor="text1"/>
            <w:sz w:val="18"/>
            <w:szCs w:val="18"/>
          </w:rPr>
          <w:t>D. 123-200</w:t>
        </w:r>
      </w:hyperlink>
      <w:r w:rsidRPr="00F7366C">
        <w:rPr>
          <w:color w:val="000000" w:themeColor="text1"/>
          <w:sz w:val="18"/>
          <w:szCs w:val="18"/>
        </w:rPr>
        <w:t>, 2°) : CA ≤ 4 M€, total bilan ≤ 8 M€, effectif ≤ 50.</w:t>
      </w:r>
    </w:p>
  </w:footnote>
  <w:footnote w:id="3">
    <w:p w14:paraId="239AF212" w14:textId="77777777" w:rsidR="0051551C" w:rsidRPr="007C6B3E" w:rsidRDefault="0051551C" w:rsidP="00430680">
      <w:pPr>
        <w:pStyle w:val="Notedebasdepage"/>
        <w:rPr>
          <w:rFonts w:ascii="Calibri" w:hAnsi="Calibri"/>
        </w:rPr>
      </w:pPr>
      <w:r w:rsidRPr="007C6B3E">
        <w:rPr>
          <w:rStyle w:val="Appelnotedebasdep"/>
          <w:rFonts w:ascii="Calibri" w:hAnsi="Calibri"/>
        </w:rPr>
        <w:footnoteRef/>
      </w:r>
      <w:r w:rsidRPr="007C6B3E">
        <w:rPr>
          <w:rFonts w:ascii="Calibri" w:hAnsi="Calibri"/>
        </w:rPr>
        <w:t xml:space="preserve"> Nombre de salariés : 50, Total du bilan : 1,55 M€ et ressources annuelles : 3,1 M€</w:t>
      </w:r>
    </w:p>
  </w:footnote>
  <w:footnote w:id="4">
    <w:p w14:paraId="0A456EF7" w14:textId="77777777" w:rsidR="0051551C" w:rsidRPr="000D4BD7" w:rsidRDefault="0051551C" w:rsidP="00644DE9">
      <w:pPr>
        <w:pStyle w:val="Notedebasdepage"/>
      </w:pPr>
      <w:r w:rsidRPr="000D4BD7">
        <w:rPr>
          <w:rStyle w:val="Appelnotedebasdep"/>
        </w:rPr>
        <w:footnoteRef/>
      </w:r>
      <w:r w:rsidRPr="000D4BD7">
        <w:t xml:space="preserve"> </w:t>
      </w:r>
      <w:r w:rsidRPr="000D4BD7">
        <w:rPr>
          <w:color w:val="333333"/>
          <w:sz w:val="18"/>
          <w:szCs w:val="18"/>
        </w:rPr>
        <w:t xml:space="preserve">100 millions </w:t>
      </w:r>
      <w:r>
        <w:rPr>
          <w:color w:val="333333"/>
          <w:sz w:val="18"/>
          <w:szCs w:val="18"/>
        </w:rPr>
        <w:t xml:space="preserve">d'euros pour le total du bilan, </w:t>
      </w:r>
      <w:r w:rsidRPr="000D4BD7">
        <w:rPr>
          <w:color w:val="333333"/>
          <w:sz w:val="18"/>
          <w:szCs w:val="18"/>
        </w:rPr>
        <w:t>100 millions d'euros pour le montant net du chiffre d'affaires et à 500 pour le nombre moyen de salariés permanents employés au cours de l'exercice.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772DB" w14:textId="77777777" w:rsidR="0051551C" w:rsidRPr="003F1B17" w:rsidRDefault="0051551C" w:rsidP="00644DE9">
    <w:pPr>
      <w:pStyle w:val="En-tte"/>
      <w:rPr>
        <w:rFonts w:ascii="Calibri" w:hAnsi="Calibri" w:cs="Calibri"/>
      </w:rPr>
    </w:pPr>
    <w:r w:rsidRPr="003F1B17">
      <w:rPr>
        <w:rFonts w:ascii="Calibri" w:eastAsia="Times New Roman" w:hAnsi="Calibri" w:cs="Calibri"/>
        <w:lang w:eastAsia="fr-FR"/>
      </w:rPr>
      <w:t>Actualité comptable 2016 n°2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6E8"/>
    <w:multiLevelType w:val="hybridMultilevel"/>
    <w:tmpl w:val="49607EB8"/>
    <w:lvl w:ilvl="0" w:tplc="15DABA4A">
      <w:numFmt w:val="bullet"/>
      <w:lvlText w:val="-"/>
      <w:lvlJc w:val="left"/>
      <w:pPr>
        <w:ind w:left="1080" w:hanging="360"/>
      </w:pPr>
      <w:rPr>
        <w:rFonts w:ascii="Calibri" w:eastAsia="Calibri"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3D9B21A9"/>
    <w:multiLevelType w:val="hybridMultilevel"/>
    <w:tmpl w:val="21263138"/>
    <w:lvl w:ilvl="0" w:tplc="A45A913E">
      <w:start w:val="1"/>
      <w:numFmt w:val="decimal"/>
      <w:lvlText w:val="%1."/>
      <w:lvlJc w:val="left"/>
      <w:pPr>
        <w:ind w:left="720" w:hanging="360"/>
      </w:pPr>
      <w:rPr>
        <w:rFonts w:asciiTheme="minorHAnsi" w:eastAsia="Times New Roman" w:hAnsiTheme="minorHAnsi" w:cstheme="minorHAns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46781B78"/>
    <w:multiLevelType w:val="multilevel"/>
    <w:tmpl w:val="0A5E2F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8360F2C"/>
    <w:multiLevelType w:val="hybridMultilevel"/>
    <w:tmpl w:val="90DCB4AA"/>
    <w:lvl w:ilvl="0" w:tplc="F970FB9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A734374"/>
    <w:multiLevelType w:val="hybridMultilevel"/>
    <w:tmpl w:val="C99E4FEA"/>
    <w:lvl w:ilvl="0" w:tplc="F970FB9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71E7EE5"/>
    <w:multiLevelType w:val="multilevel"/>
    <w:tmpl w:val="0E46D496"/>
    <w:lvl w:ilvl="0">
      <w:start w:val="1"/>
      <w:numFmt w:val="decimal"/>
      <w:pStyle w:val="Titre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B1713A"/>
    <w:multiLevelType w:val="hybridMultilevel"/>
    <w:tmpl w:val="102021AA"/>
    <w:lvl w:ilvl="0" w:tplc="C3CC0F6C">
      <w:start w:val="1"/>
      <w:numFmt w:val="decimal"/>
      <w:lvlText w:val="%1)"/>
      <w:lvlJc w:val="left"/>
      <w:pPr>
        <w:ind w:left="720" w:hanging="360"/>
      </w:pPr>
      <w:rPr>
        <w:rFonts w:asciiTheme="minorHAnsi" w:eastAsia="Times New Roman" w:hAnsiTheme="minorHAnsi" w:cstheme="minorHAnsi"/>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7FE140B5"/>
    <w:multiLevelType w:val="multilevel"/>
    <w:tmpl w:val="0A5E2F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6"/>
  </w:num>
  <w:num w:numId="3">
    <w:abstractNumId w:val="1"/>
  </w:num>
  <w:num w:numId="4">
    <w:abstractNumId w:val="3"/>
  </w:num>
  <w:num w:numId="5">
    <w:abstractNumId w:val="0"/>
  </w:num>
  <w:num w:numId="6">
    <w:abstractNumId w:val="7"/>
  </w:num>
  <w:num w:numId="7">
    <w:abstractNumId w:val="2"/>
  </w:num>
  <w:num w:numId="8">
    <w:abstractNumId w:val="5"/>
  </w:num>
  <w:num w:numId="9">
    <w:abstractNumId w:val="5"/>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DE9"/>
    <w:rsid w:val="00044BB4"/>
    <w:rsid w:val="00054C83"/>
    <w:rsid w:val="000550A9"/>
    <w:rsid w:val="000B41FA"/>
    <w:rsid w:val="000E7088"/>
    <w:rsid w:val="000E7FCE"/>
    <w:rsid w:val="00161BDA"/>
    <w:rsid w:val="00164256"/>
    <w:rsid w:val="001C20D2"/>
    <w:rsid w:val="001D3945"/>
    <w:rsid w:val="001D63C0"/>
    <w:rsid w:val="001F10AA"/>
    <w:rsid w:val="00207850"/>
    <w:rsid w:val="00237BB1"/>
    <w:rsid w:val="002826B1"/>
    <w:rsid w:val="002A7395"/>
    <w:rsid w:val="002B1259"/>
    <w:rsid w:val="002C0A4D"/>
    <w:rsid w:val="002C50E0"/>
    <w:rsid w:val="002F1076"/>
    <w:rsid w:val="00314379"/>
    <w:rsid w:val="00325761"/>
    <w:rsid w:val="00364FBB"/>
    <w:rsid w:val="003A18ED"/>
    <w:rsid w:val="003C5133"/>
    <w:rsid w:val="003F0C61"/>
    <w:rsid w:val="003F1B17"/>
    <w:rsid w:val="00430680"/>
    <w:rsid w:val="004362B4"/>
    <w:rsid w:val="004C6637"/>
    <w:rsid w:val="004E1BC1"/>
    <w:rsid w:val="00501CE6"/>
    <w:rsid w:val="0051551C"/>
    <w:rsid w:val="00534B55"/>
    <w:rsid w:val="00552504"/>
    <w:rsid w:val="00565308"/>
    <w:rsid w:val="00570A38"/>
    <w:rsid w:val="00582368"/>
    <w:rsid w:val="005A6EE0"/>
    <w:rsid w:val="005F3810"/>
    <w:rsid w:val="00623E39"/>
    <w:rsid w:val="006373B9"/>
    <w:rsid w:val="00641F96"/>
    <w:rsid w:val="00644DE9"/>
    <w:rsid w:val="006840B2"/>
    <w:rsid w:val="00684AAA"/>
    <w:rsid w:val="006A1BB1"/>
    <w:rsid w:val="006D09CA"/>
    <w:rsid w:val="00700175"/>
    <w:rsid w:val="00716C57"/>
    <w:rsid w:val="00771118"/>
    <w:rsid w:val="0078616F"/>
    <w:rsid w:val="007B4C8A"/>
    <w:rsid w:val="007B51BE"/>
    <w:rsid w:val="007C3CE9"/>
    <w:rsid w:val="007C6B3E"/>
    <w:rsid w:val="007D37EC"/>
    <w:rsid w:val="00811497"/>
    <w:rsid w:val="00866336"/>
    <w:rsid w:val="0088757E"/>
    <w:rsid w:val="008A08DA"/>
    <w:rsid w:val="008B75AB"/>
    <w:rsid w:val="008D5CC0"/>
    <w:rsid w:val="008F2CCD"/>
    <w:rsid w:val="00912DF9"/>
    <w:rsid w:val="00926183"/>
    <w:rsid w:val="00966039"/>
    <w:rsid w:val="00983673"/>
    <w:rsid w:val="009B30E8"/>
    <w:rsid w:val="009D318A"/>
    <w:rsid w:val="009E6B6F"/>
    <w:rsid w:val="00A67ABC"/>
    <w:rsid w:val="00AD1C16"/>
    <w:rsid w:val="00AD4932"/>
    <w:rsid w:val="00B0712A"/>
    <w:rsid w:val="00B160AF"/>
    <w:rsid w:val="00B27DAA"/>
    <w:rsid w:val="00B4527B"/>
    <w:rsid w:val="00BB5824"/>
    <w:rsid w:val="00BC0025"/>
    <w:rsid w:val="00C21C0C"/>
    <w:rsid w:val="00C56490"/>
    <w:rsid w:val="00C70A36"/>
    <w:rsid w:val="00C739F7"/>
    <w:rsid w:val="00CC384B"/>
    <w:rsid w:val="00D0743B"/>
    <w:rsid w:val="00D1209D"/>
    <w:rsid w:val="00D43C10"/>
    <w:rsid w:val="00D525B1"/>
    <w:rsid w:val="00DE7328"/>
    <w:rsid w:val="00E14B8A"/>
    <w:rsid w:val="00E27588"/>
    <w:rsid w:val="00E279EB"/>
    <w:rsid w:val="00E308A1"/>
    <w:rsid w:val="00E41EBC"/>
    <w:rsid w:val="00E64D78"/>
    <w:rsid w:val="00E82852"/>
    <w:rsid w:val="00EB0B9B"/>
    <w:rsid w:val="00ED489C"/>
    <w:rsid w:val="00EF1A06"/>
    <w:rsid w:val="00F76CA5"/>
    <w:rsid w:val="00FA102C"/>
    <w:rsid w:val="00FB5062"/>
    <w:rsid w:val="00FF2C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744F6C"/>
  <w15:docId w15:val="{7DE9BD36-5F32-46D4-A38C-E92D4BF58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644DE9"/>
    <w:pPr>
      <w:spacing w:after="0" w:line="240" w:lineRule="auto"/>
    </w:pPr>
    <w:rPr>
      <w:rFonts w:ascii="Times New Roman" w:eastAsia="Calibri" w:hAnsi="Times New Roman" w:cs="Times New Roman"/>
    </w:rPr>
  </w:style>
  <w:style w:type="paragraph" w:styleId="Titre1">
    <w:name w:val="heading 1"/>
    <w:basedOn w:val="Normal"/>
    <w:next w:val="Normal"/>
    <w:link w:val="Titre1Car"/>
    <w:uiPriority w:val="9"/>
    <w:qFormat/>
    <w:rsid w:val="00B4527B"/>
    <w:pPr>
      <w:keepNext/>
      <w:keepLines/>
      <w:numPr>
        <w:numId w:val="8"/>
      </w:numPr>
      <w:spacing w:before="240"/>
      <w:outlineLvl w:val="0"/>
    </w:pPr>
    <w:rPr>
      <w:rFonts w:asciiTheme="minorHAnsi" w:eastAsiaTheme="majorEastAsia" w:hAnsiTheme="minorHAnsi" w:cstheme="majorBidi"/>
      <w:color w:val="00B0F0"/>
      <w:sz w:val="24"/>
      <w:szCs w:val="32"/>
      <w:u w:val="single"/>
    </w:rPr>
  </w:style>
  <w:style w:type="paragraph" w:styleId="Titre2">
    <w:name w:val="heading 2"/>
    <w:basedOn w:val="Normal"/>
    <w:next w:val="Normal"/>
    <w:link w:val="Titre2Car"/>
    <w:uiPriority w:val="9"/>
    <w:unhideWhenUsed/>
    <w:qFormat/>
    <w:rsid w:val="00FF2CD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B4527B"/>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644DE9"/>
    <w:rPr>
      <w:color w:val="0000FF"/>
      <w:u w:val="single"/>
    </w:rPr>
  </w:style>
  <w:style w:type="paragraph" w:styleId="Pieddepage">
    <w:name w:val="footer"/>
    <w:basedOn w:val="Normal"/>
    <w:link w:val="PieddepageCar"/>
    <w:unhideWhenUsed/>
    <w:rsid w:val="00644DE9"/>
    <w:pPr>
      <w:tabs>
        <w:tab w:val="center" w:pos="4536"/>
        <w:tab w:val="right" w:pos="9072"/>
      </w:tabs>
    </w:pPr>
  </w:style>
  <w:style w:type="character" w:customStyle="1" w:styleId="PieddepageCar">
    <w:name w:val="Pied de page Car"/>
    <w:basedOn w:val="Policepardfaut"/>
    <w:link w:val="Pieddepage"/>
    <w:rsid w:val="00644DE9"/>
    <w:rPr>
      <w:rFonts w:ascii="Times New Roman" w:eastAsia="Calibri" w:hAnsi="Times New Roman" w:cs="Times New Roman"/>
    </w:rPr>
  </w:style>
  <w:style w:type="character" w:styleId="Numrodepage">
    <w:name w:val="page number"/>
    <w:basedOn w:val="Policepardfaut"/>
    <w:semiHidden/>
    <w:unhideWhenUsed/>
    <w:rsid w:val="00644DE9"/>
  </w:style>
  <w:style w:type="paragraph" w:styleId="Paragraphedeliste">
    <w:name w:val="List Paragraph"/>
    <w:basedOn w:val="Normal"/>
    <w:uiPriority w:val="34"/>
    <w:qFormat/>
    <w:rsid w:val="00644DE9"/>
    <w:pPr>
      <w:ind w:left="720"/>
      <w:contextualSpacing/>
    </w:pPr>
  </w:style>
  <w:style w:type="character" w:styleId="lev">
    <w:name w:val="Strong"/>
    <w:basedOn w:val="Policepardfaut"/>
    <w:uiPriority w:val="22"/>
    <w:qFormat/>
    <w:rsid w:val="00644DE9"/>
    <w:rPr>
      <w:b/>
      <w:bCs/>
    </w:rPr>
  </w:style>
  <w:style w:type="paragraph" w:styleId="Liste">
    <w:name w:val="List"/>
    <w:basedOn w:val="Normal"/>
    <w:rsid w:val="00644DE9"/>
    <w:pPr>
      <w:ind w:left="283" w:hanging="283"/>
      <w:jc w:val="both"/>
    </w:pPr>
    <w:rPr>
      <w:rFonts w:eastAsia="Times New Roman"/>
      <w:szCs w:val="20"/>
      <w:lang w:eastAsia="fr-FR"/>
    </w:rPr>
  </w:style>
  <w:style w:type="paragraph" w:styleId="NormalWeb">
    <w:name w:val="Normal (Web)"/>
    <w:basedOn w:val="Normal"/>
    <w:uiPriority w:val="99"/>
    <w:semiHidden/>
    <w:unhideWhenUsed/>
    <w:rsid w:val="00644DE9"/>
    <w:pPr>
      <w:spacing w:before="100" w:beforeAutospacing="1" w:after="100" w:afterAutospacing="1"/>
    </w:pPr>
    <w:rPr>
      <w:rFonts w:eastAsia="Times New Roman"/>
      <w:sz w:val="24"/>
      <w:szCs w:val="24"/>
      <w:lang w:eastAsia="fr-FR"/>
    </w:rPr>
  </w:style>
  <w:style w:type="table" w:styleId="Grilledutableau">
    <w:name w:val="Table Grid"/>
    <w:basedOn w:val="TableauNormal"/>
    <w:uiPriority w:val="39"/>
    <w:rsid w:val="00644D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644DE9"/>
    <w:rPr>
      <w:sz w:val="20"/>
      <w:szCs w:val="20"/>
    </w:rPr>
  </w:style>
  <w:style w:type="character" w:customStyle="1" w:styleId="NotedebasdepageCar">
    <w:name w:val="Note de bas de page Car"/>
    <w:basedOn w:val="Policepardfaut"/>
    <w:link w:val="Notedebasdepage"/>
    <w:uiPriority w:val="99"/>
    <w:semiHidden/>
    <w:rsid w:val="00644DE9"/>
    <w:rPr>
      <w:rFonts w:ascii="Times New Roman" w:eastAsia="Calibri" w:hAnsi="Times New Roman" w:cs="Times New Roman"/>
      <w:sz w:val="20"/>
      <w:szCs w:val="20"/>
    </w:rPr>
  </w:style>
  <w:style w:type="character" w:styleId="Appelnotedebasdep">
    <w:name w:val="footnote reference"/>
    <w:basedOn w:val="Policepardfaut"/>
    <w:uiPriority w:val="99"/>
    <w:semiHidden/>
    <w:unhideWhenUsed/>
    <w:rsid w:val="00644DE9"/>
    <w:rPr>
      <w:vertAlign w:val="superscript"/>
    </w:rPr>
  </w:style>
  <w:style w:type="paragraph" w:customStyle="1" w:styleId="emphb-para1">
    <w:name w:val="emphb-para1"/>
    <w:basedOn w:val="Normal"/>
    <w:rsid w:val="00644DE9"/>
    <w:pPr>
      <w:spacing w:line="360" w:lineRule="atLeast"/>
      <w:textAlignment w:val="baseline"/>
    </w:pPr>
    <w:rPr>
      <w:rFonts w:eastAsia="Times New Roman"/>
      <w:sz w:val="29"/>
      <w:szCs w:val="29"/>
      <w:lang w:eastAsia="fr-FR"/>
    </w:rPr>
  </w:style>
  <w:style w:type="paragraph" w:styleId="En-tte">
    <w:name w:val="header"/>
    <w:basedOn w:val="Normal"/>
    <w:link w:val="En-tteCar"/>
    <w:uiPriority w:val="99"/>
    <w:unhideWhenUsed/>
    <w:rsid w:val="00644DE9"/>
    <w:pPr>
      <w:tabs>
        <w:tab w:val="center" w:pos="4536"/>
        <w:tab w:val="right" w:pos="9072"/>
      </w:tabs>
    </w:pPr>
  </w:style>
  <w:style w:type="character" w:customStyle="1" w:styleId="En-tteCar">
    <w:name w:val="En-tête Car"/>
    <w:basedOn w:val="Policepardfaut"/>
    <w:link w:val="En-tte"/>
    <w:uiPriority w:val="99"/>
    <w:rsid w:val="00644DE9"/>
    <w:rPr>
      <w:rFonts w:ascii="Times New Roman" w:eastAsia="Calibri" w:hAnsi="Times New Roman" w:cs="Times New Roman"/>
    </w:rPr>
  </w:style>
  <w:style w:type="character" w:styleId="Marquedecommentaire">
    <w:name w:val="annotation reference"/>
    <w:basedOn w:val="Policepardfaut"/>
    <w:uiPriority w:val="99"/>
    <w:semiHidden/>
    <w:unhideWhenUsed/>
    <w:rsid w:val="007B51BE"/>
    <w:rPr>
      <w:sz w:val="16"/>
      <w:szCs w:val="16"/>
    </w:rPr>
  </w:style>
  <w:style w:type="paragraph" w:styleId="Commentaire">
    <w:name w:val="annotation text"/>
    <w:basedOn w:val="Normal"/>
    <w:link w:val="CommentaireCar"/>
    <w:uiPriority w:val="99"/>
    <w:semiHidden/>
    <w:unhideWhenUsed/>
    <w:rsid w:val="007B51BE"/>
    <w:rPr>
      <w:sz w:val="20"/>
      <w:szCs w:val="20"/>
    </w:rPr>
  </w:style>
  <w:style w:type="character" w:customStyle="1" w:styleId="CommentaireCar">
    <w:name w:val="Commentaire Car"/>
    <w:basedOn w:val="Policepardfaut"/>
    <w:link w:val="Commentaire"/>
    <w:uiPriority w:val="99"/>
    <w:semiHidden/>
    <w:rsid w:val="007B51BE"/>
    <w:rPr>
      <w:rFonts w:ascii="Times New Roman" w:eastAsia="Calibri" w:hAnsi="Times New Roman" w:cs="Times New Roman"/>
      <w:sz w:val="20"/>
      <w:szCs w:val="20"/>
    </w:rPr>
  </w:style>
  <w:style w:type="paragraph" w:styleId="Objetducommentaire">
    <w:name w:val="annotation subject"/>
    <w:basedOn w:val="Commentaire"/>
    <w:next w:val="Commentaire"/>
    <w:link w:val="ObjetducommentaireCar"/>
    <w:uiPriority w:val="99"/>
    <w:semiHidden/>
    <w:unhideWhenUsed/>
    <w:rsid w:val="007B51BE"/>
    <w:rPr>
      <w:b/>
      <w:bCs/>
    </w:rPr>
  </w:style>
  <w:style w:type="character" w:customStyle="1" w:styleId="ObjetducommentaireCar">
    <w:name w:val="Objet du commentaire Car"/>
    <w:basedOn w:val="CommentaireCar"/>
    <w:link w:val="Objetducommentaire"/>
    <w:uiPriority w:val="99"/>
    <w:semiHidden/>
    <w:rsid w:val="007B51BE"/>
    <w:rPr>
      <w:rFonts w:ascii="Times New Roman" w:eastAsia="Calibri" w:hAnsi="Times New Roman" w:cs="Times New Roman"/>
      <w:b/>
      <w:bCs/>
      <w:sz w:val="20"/>
      <w:szCs w:val="20"/>
    </w:rPr>
  </w:style>
  <w:style w:type="paragraph" w:styleId="Textedebulles">
    <w:name w:val="Balloon Text"/>
    <w:basedOn w:val="Normal"/>
    <w:link w:val="TextedebullesCar"/>
    <w:uiPriority w:val="99"/>
    <w:semiHidden/>
    <w:unhideWhenUsed/>
    <w:rsid w:val="007B51BE"/>
    <w:rPr>
      <w:rFonts w:ascii="Tahoma" w:hAnsi="Tahoma" w:cs="Tahoma"/>
      <w:sz w:val="16"/>
      <w:szCs w:val="16"/>
    </w:rPr>
  </w:style>
  <w:style w:type="character" w:customStyle="1" w:styleId="TextedebullesCar">
    <w:name w:val="Texte de bulles Car"/>
    <w:basedOn w:val="Policepardfaut"/>
    <w:link w:val="Textedebulles"/>
    <w:uiPriority w:val="99"/>
    <w:semiHidden/>
    <w:rsid w:val="007B51BE"/>
    <w:rPr>
      <w:rFonts w:ascii="Tahoma" w:eastAsia="Calibri" w:hAnsi="Tahoma" w:cs="Tahoma"/>
      <w:sz w:val="16"/>
      <w:szCs w:val="16"/>
    </w:rPr>
  </w:style>
  <w:style w:type="character" w:customStyle="1" w:styleId="cthl">
    <w:name w:val="ct_hl"/>
    <w:basedOn w:val="Policepardfaut"/>
    <w:rsid w:val="00207850"/>
    <w:rPr>
      <w:color w:val="000000"/>
      <w:shd w:val="clear" w:color="auto" w:fill="EAFC81"/>
    </w:rPr>
  </w:style>
  <w:style w:type="character" w:customStyle="1" w:styleId="refdocenrichie">
    <w:name w:val="refdocenrichie"/>
    <w:basedOn w:val="Policepardfaut"/>
    <w:rsid w:val="00582368"/>
  </w:style>
  <w:style w:type="character" w:customStyle="1" w:styleId="Titre1Car">
    <w:name w:val="Titre 1 Car"/>
    <w:basedOn w:val="Policepardfaut"/>
    <w:link w:val="Titre1"/>
    <w:uiPriority w:val="9"/>
    <w:rsid w:val="00B4527B"/>
    <w:rPr>
      <w:rFonts w:eastAsiaTheme="majorEastAsia" w:cstheme="majorBidi"/>
      <w:color w:val="00B0F0"/>
      <w:sz w:val="24"/>
      <w:szCs w:val="32"/>
      <w:u w:val="single"/>
    </w:rPr>
  </w:style>
  <w:style w:type="character" w:customStyle="1" w:styleId="Titre2Car">
    <w:name w:val="Titre 2 Car"/>
    <w:basedOn w:val="Policepardfaut"/>
    <w:link w:val="Titre2"/>
    <w:uiPriority w:val="9"/>
    <w:rsid w:val="00FF2CDA"/>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B4527B"/>
    <w:rPr>
      <w:rFonts w:asciiTheme="majorHAnsi" w:eastAsiaTheme="majorEastAsia" w:hAnsiTheme="majorHAnsi" w:cstheme="majorBidi"/>
      <w:color w:val="1F4D78" w:themeColor="accent1" w:themeShade="7F"/>
      <w:sz w:val="24"/>
      <w:szCs w:val="24"/>
    </w:rPr>
  </w:style>
  <w:style w:type="paragraph" w:styleId="En-ttedetabledesmatires">
    <w:name w:val="TOC Heading"/>
    <w:basedOn w:val="Titre1"/>
    <w:next w:val="Normal"/>
    <w:uiPriority w:val="39"/>
    <w:unhideWhenUsed/>
    <w:qFormat/>
    <w:rsid w:val="0051551C"/>
    <w:pPr>
      <w:numPr>
        <w:numId w:val="0"/>
      </w:numPr>
      <w:spacing w:line="259" w:lineRule="auto"/>
      <w:outlineLvl w:val="9"/>
    </w:pPr>
    <w:rPr>
      <w:rFonts w:asciiTheme="majorHAnsi" w:hAnsiTheme="majorHAnsi"/>
      <w:color w:val="2E74B5" w:themeColor="accent1" w:themeShade="BF"/>
      <w:sz w:val="32"/>
      <w:u w:val="none"/>
      <w:lang w:eastAsia="fr-FR"/>
    </w:rPr>
  </w:style>
  <w:style w:type="paragraph" w:styleId="TM2">
    <w:name w:val="toc 2"/>
    <w:basedOn w:val="Normal"/>
    <w:next w:val="Normal"/>
    <w:autoRedefine/>
    <w:uiPriority w:val="39"/>
    <w:unhideWhenUsed/>
    <w:rsid w:val="0051551C"/>
    <w:pPr>
      <w:spacing w:after="100" w:line="259" w:lineRule="auto"/>
      <w:ind w:left="220"/>
    </w:pPr>
    <w:rPr>
      <w:rFonts w:asciiTheme="minorHAnsi" w:eastAsiaTheme="minorEastAsia" w:hAnsiTheme="minorHAnsi"/>
      <w:lang w:eastAsia="fr-FR"/>
    </w:rPr>
  </w:style>
  <w:style w:type="paragraph" w:styleId="TM1">
    <w:name w:val="toc 1"/>
    <w:basedOn w:val="Normal"/>
    <w:next w:val="Normal"/>
    <w:autoRedefine/>
    <w:uiPriority w:val="39"/>
    <w:unhideWhenUsed/>
    <w:rsid w:val="00ED489C"/>
    <w:pPr>
      <w:tabs>
        <w:tab w:val="left" w:pos="440"/>
        <w:tab w:val="right" w:leader="dot" w:pos="9060"/>
      </w:tabs>
      <w:spacing w:line="259" w:lineRule="auto"/>
    </w:pPr>
    <w:rPr>
      <w:rFonts w:asciiTheme="minorHAnsi" w:eastAsiaTheme="minorEastAsia" w:hAnsiTheme="minorHAnsi"/>
      <w:b/>
      <w:i/>
      <w:noProof/>
      <w:color w:val="0070C0"/>
      <w:lang w:eastAsia="fr-FR"/>
    </w:rPr>
  </w:style>
  <w:style w:type="paragraph" w:styleId="TM3">
    <w:name w:val="toc 3"/>
    <w:basedOn w:val="Normal"/>
    <w:next w:val="Normal"/>
    <w:autoRedefine/>
    <w:uiPriority w:val="39"/>
    <w:unhideWhenUsed/>
    <w:rsid w:val="0051551C"/>
    <w:pPr>
      <w:spacing w:after="100" w:line="259" w:lineRule="auto"/>
      <w:ind w:left="440"/>
    </w:pPr>
    <w:rPr>
      <w:rFonts w:asciiTheme="minorHAnsi" w:eastAsiaTheme="minorEastAsia" w:hAnsiTheme="minorHAnsi"/>
      <w:lang w:eastAsia="fr-FR"/>
    </w:rPr>
  </w:style>
  <w:style w:type="paragraph" w:styleId="Rvision">
    <w:name w:val="Revision"/>
    <w:hidden/>
    <w:uiPriority w:val="99"/>
    <w:semiHidden/>
    <w:rsid w:val="006D09CA"/>
    <w:pPr>
      <w:spacing w:after="0" w:line="240" w:lineRule="auto"/>
    </w:pPr>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894926">
      <w:bodyDiv w:val="1"/>
      <w:marLeft w:val="0"/>
      <w:marRight w:val="0"/>
      <w:marTop w:val="0"/>
      <w:marBottom w:val="0"/>
      <w:divBdr>
        <w:top w:val="single" w:sz="6" w:space="31" w:color="FFFFFF"/>
        <w:left w:val="none" w:sz="0" w:space="0" w:color="auto"/>
        <w:bottom w:val="none" w:sz="0" w:space="0" w:color="auto"/>
        <w:right w:val="none" w:sz="0" w:space="0" w:color="auto"/>
      </w:divBdr>
      <w:divsChild>
        <w:div w:id="988900868">
          <w:marLeft w:val="0"/>
          <w:marRight w:val="0"/>
          <w:marTop w:val="0"/>
          <w:marBottom w:val="0"/>
          <w:divBdr>
            <w:top w:val="none" w:sz="0" w:space="0" w:color="auto"/>
            <w:left w:val="none" w:sz="0" w:space="0" w:color="auto"/>
            <w:bottom w:val="none" w:sz="0" w:space="0" w:color="auto"/>
            <w:right w:val="none" w:sz="0" w:space="0" w:color="auto"/>
          </w:divBdr>
          <w:divsChild>
            <w:div w:id="1152788988">
              <w:marLeft w:val="0"/>
              <w:marRight w:val="0"/>
              <w:marTop w:val="0"/>
              <w:marBottom w:val="0"/>
              <w:divBdr>
                <w:top w:val="single" w:sz="6" w:space="31" w:color="FFFFFF"/>
                <w:left w:val="none" w:sz="0" w:space="0" w:color="auto"/>
                <w:bottom w:val="none" w:sz="0" w:space="0" w:color="auto"/>
                <w:right w:val="none" w:sz="0" w:space="0" w:color="auto"/>
              </w:divBdr>
              <w:divsChild>
                <w:div w:id="547379194">
                  <w:marLeft w:val="0"/>
                  <w:marRight w:val="0"/>
                  <w:marTop w:val="0"/>
                  <w:marBottom w:val="0"/>
                  <w:divBdr>
                    <w:top w:val="none" w:sz="0" w:space="0" w:color="auto"/>
                    <w:left w:val="none" w:sz="0" w:space="0" w:color="auto"/>
                    <w:bottom w:val="none" w:sz="0" w:space="0" w:color="auto"/>
                    <w:right w:val="none" w:sz="0" w:space="0" w:color="auto"/>
                  </w:divBdr>
                  <w:divsChild>
                    <w:div w:id="524296065">
                      <w:marLeft w:val="0"/>
                      <w:marRight w:val="0"/>
                      <w:marTop w:val="0"/>
                      <w:marBottom w:val="0"/>
                      <w:divBdr>
                        <w:top w:val="none" w:sz="0" w:space="0" w:color="auto"/>
                        <w:left w:val="none" w:sz="0" w:space="0" w:color="auto"/>
                        <w:bottom w:val="none" w:sz="0" w:space="0" w:color="auto"/>
                        <w:right w:val="none" w:sz="0" w:space="0" w:color="auto"/>
                      </w:divBdr>
                      <w:divsChild>
                        <w:div w:id="408313280">
                          <w:marLeft w:val="0"/>
                          <w:marRight w:val="0"/>
                          <w:marTop w:val="0"/>
                          <w:marBottom w:val="0"/>
                          <w:divBdr>
                            <w:top w:val="none" w:sz="0" w:space="0" w:color="auto"/>
                            <w:left w:val="none" w:sz="0" w:space="0" w:color="auto"/>
                            <w:bottom w:val="none" w:sz="0" w:space="0" w:color="auto"/>
                            <w:right w:val="none" w:sz="0" w:space="0" w:color="auto"/>
                          </w:divBdr>
                        </w:div>
                        <w:div w:id="866021807">
                          <w:marLeft w:val="0"/>
                          <w:marRight w:val="0"/>
                          <w:marTop w:val="0"/>
                          <w:marBottom w:val="0"/>
                          <w:divBdr>
                            <w:top w:val="none" w:sz="0" w:space="0" w:color="auto"/>
                            <w:left w:val="none" w:sz="0" w:space="0" w:color="auto"/>
                            <w:bottom w:val="none" w:sz="0" w:space="0" w:color="auto"/>
                            <w:right w:val="none" w:sz="0" w:space="0" w:color="auto"/>
                          </w:divBdr>
                        </w:div>
                        <w:div w:id="1812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Excel_Worksheet.xlsx"/><Relationship Id="rId18" Type="http://schemas.openxmlformats.org/officeDocument/2006/relationships/hyperlink" Target="https://doc.cncc.fr/docs/note-relative-aux-nouvelles-obli/attachments/note-relative-a-la-mission-du-commissaire-aux-comptes-dans-les-comites-dentrepris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abonnes.efl.fr/EFL2/convert/id/?id=CCOM107688" TargetMode="Externa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https://doc.cncc.fr/docs/avis-technique-attestations-des/attachments/at-representativite-patronale-vclean"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anc.gouv.fr/files/live/sites/anc/files/contributed/ANC/1.%20Normes%20fran%C3%A7aises/Reglements/2015/Reglt2015-07/Reglt_2015-07.pdf" TargetMode="External"/><Relationship Id="rId20" Type="http://schemas.openxmlformats.org/officeDocument/2006/relationships/hyperlink" Target="https://www.legifrance.gouv.fr/eli/decret/2016/10/11/ECFE1602209D/jo/text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c.gouv.fr/files/live/sites/anc/files/contributed/ANC/1.%20Normes%20fran%C3%A7aises/Reglements/2015/Reglt2015-05/Reglt%202015_05_note%20de%20presentation_insmt%20financiers%20%26%20operat-%20de%20couverture%20.pdf"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anc.gouv.fr/files/live/sites/anc/files/contributed/ANC/1.%20Normes%20fran%C3%A7aises/Reglements/2015/Reglt2015-07/Reglt_2015_07_note_de_presentation.pdf" TargetMode="External"/><Relationship Id="rId23" Type="http://schemas.openxmlformats.org/officeDocument/2006/relationships/hyperlink" Target="https://www.legifrance.gouv.fr/affichTexte.do?cidTexte=JORFTEXT000032325931&amp;categorieLien=id" TargetMode="External"/><Relationship Id="rId10" Type="http://schemas.openxmlformats.org/officeDocument/2006/relationships/hyperlink" Target="file:///C:\Users\Gwenaelle\AppData\Local\Microsoft\Windows\INetCache\IE\CUV0ZGRH\Reglt%202015_05%20_%20instruments%20financiers%20&amp;%20operat-de%20couverture.pdf" TargetMode="External"/><Relationship Id="rId19" Type="http://schemas.openxmlformats.org/officeDocument/2006/relationships/hyperlink" Target="http://rfcomptable.grouperf.com/lien_spad/?base=JORF&amp;orig=REVUE_RF_FH&amp;date=2016-10-11&amp;numero=2016-1356%20&amp;etat_initial=JORFTEXT000033227277&amp;etat_maj=LEGITEXT000033228208" TargetMode="Externa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image" Target="media/image3.png"/><Relationship Id="rId22" Type="http://schemas.openxmlformats.org/officeDocument/2006/relationships/hyperlink" Target="http://abonnes.efl.fr/EFL2/convert/id/?id=CCOM107688" TargetMode="Externa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https://i.creativecommons.org/l/by-nc-sa/4.0/80x15.png" TargetMode="External"/><Relationship Id="rId2" Type="http://schemas.openxmlformats.org/officeDocument/2006/relationships/image" Target="media/image4.png"/><Relationship Id="rId1" Type="http://schemas.openxmlformats.org/officeDocument/2006/relationships/hyperlink" Target="http://creativecommons.org/licenses/by-nc-sa/2.0/fr/" TargetMode="External"/><Relationship Id="rId4" Type="http://schemas.openxmlformats.org/officeDocument/2006/relationships/hyperlink" Target="http://crtg.ac-grenoble.f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revuefiduciaire.grouperf.com/lien_spad/?base=LEGI&amp;orig=REVUE_RF_FH&amp;code=LEGITEXT000005634379&amp;numero=D123-200&amp;idspad=LEGIARTI000028620622" TargetMode="External"/><Relationship Id="rId1" Type="http://schemas.openxmlformats.org/officeDocument/2006/relationships/hyperlink" Target="http://revuefiduciaire.grouperf.com/lien_spad/?base=LEGI&amp;orig=REVUE_RF_FH&amp;code=LEGITEXT000005634379&amp;numero=L123-16&amp;idspad=LEGIARTI000028556283"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81F87D-2A3E-4738-8230-F38BAF420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16</Pages>
  <Words>6584</Words>
  <Characters>36213</Characters>
  <Application>Microsoft Office Word</Application>
  <DocSecurity>0</DocSecurity>
  <Lines>301</Lines>
  <Paragraphs>85</Paragraphs>
  <ScaleCrop>false</ScaleCrop>
  <HeadingPairs>
    <vt:vector size="4" baseType="variant">
      <vt:variant>
        <vt:lpstr>Titre</vt:lpstr>
      </vt:variant>
      <vt:variant>
        <vt:i4>1</vt:i4>
      </vt:variant>
      <vt:variant>
        <vt:lpstr>Titres</vt:lpstr>
      </vt:variant>
      <vt:variant>
        <vt:i4>24</vt:i4>
      </vt:variant>
    </vt:vector>
  </HeadingPairs>
  <TitlesOfParts>
    <vt:vector size="25" baseType="lpstr">
      <vt:lpstr/>
      <vt:lpstr>Actualité des textes comptables</vt:lpstr>
      <vt:lpstr>    1.1 Les opérations de couverture de change (règlement ANC n 2015-05 du 2 juillet</vt:lpstr>
      <vt:lpstr>    1.2 Modifications du PCG (règlement ANC n  2015-06 du 23 novembre 2015) </vt:lpstr>
      <vt:lpstr>        Les règles d’amortissement et de dépréciation des actifs corporels et incorporel</vt:lpstr>
      <vt:lpstr>        Les frais de développement (article 212-3 du PCG)</vt:lpstr>
      <vt:lpstr>        Le fonds commercial : définition, amortissements et dépréciations</vt:lpstr>
      <vt:lpstr>        Le mali technique de fusion</vt:lpstr>
      <vt:lpstr>        L’annexe</vt:lpstr>
      <vt:lpstr>    1.3 Les comptes consolidés (règlement ANC n 2015-07 du 23 novembre 2015) </vt:lpstr>
      <vt:lpstr>        L’établissement des comptes consolidés</vt:lpstr>
      <vt:lpstr>        Les exemptions à l’obligation d’établir et de publier des comptes consolidés  </vt:lpstr>
      <vt:lpstr>        La date d’établissement des comptes consolidés</vt:lpstr>
      <vt:lpstr>        Le traitement des écarts d’acquisition: amortissement et dépréciation</vt:lpstr>
      <vt:lpstr>        Le traitement des parts de marché</vt:lpstr>
      <vt:lpstr>    1.4 Autres  </vt:lpstr>
      <vt:lpstr>        La non compensation des comptes </vt:lpstr>
      <vt:lpstr>        La définition des titres de participation </vt:lpstr>
      <vt:lpstr>Commissariat aux comptes</vt:lpstr>
      <vt:lpstr>    2.1 Avis technique de la CNCC relatif aux critères de représentativité au niveau</vt:lpstr>
      <vt:lpstr>    2.2 Note de la CNCC relative aux nouvelles obligations des comités d’entreprise</vt:lpstr>
      <vt:lpstr>Divers</vt:lpstr>
      <vt:lpstr>    3.1 Les organismes de gestion agréés</vt:lpstr>
      <vt:lpstr>    3.2	Le rapport de gestion : nouvelles informations à fournir </vt:lpstr>
      <vt:lpstr>    3.3 Les sociétés pluri-professionnelles d'exercice (SPE)</vt:lpstr>
    </vt:vector>
  </TitlesOfParts>
  <Company>EN</Company>
  <LinksUpToDate>false</LinksUpToDate>
  <CharactersWithSpaces>42712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Gwenaelle</dc:creator>
  <cp:lastModifiedBy>Gwenaelle</cp:lastModifiedBy>
  <cp:revision>8</cp:revision>
  <cp:lastPrinted>2017-01-09T20:20:00Z</cp:lastPrinted>
  <dcterms:created xsi:type="dcterms:W3CDTF">2017-01-09T20:25:00Z</dcterms:created>
  <dcterms:modified xsi:type="dcterms:W3CDTF">2017-01-10T18:11:00Z</dcterms:modified>
</cp:coreProperties>
</file>